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32.2017.53 vom 14. Februar 2017</w:t>
      </w:r>
    </w:p>
    <w:p>
      <w:r>
        <w:t>TI Tribunale d'appello, 2017-02-14, IT</w:t>
      </w:r>
    </w:p>
    <w:p>
      <w:r>
        <w:rPr>
          <w:b/>
        </w:rPr>
        <w:t xml:space="preserve">Quelle: </w:t>
      </w:r>
      <w:r>
        <w:t>https://mcp.opencaselaw.ch/entscheid/ti_gerichte_32.2017.53</w:t>
      </w:r>
    </w:p>
    <w:p>
      <w:r>
        <w:t>FR: TI_GERICHTE 32.2017.53 du 14 février 2017</w:t>
      </w:r>
    </w:p>
    <w:p>
      <w:r>
        <w:t>IT: TI_GERICHTE 32.2017.53 del 14 febbraio 2017</w:t>
      </w:r>
    </w:p>
    <w:p>
      <w:pPr>
        <w:pStyle w:val="Heading2"/>
      </w:pPr>
      <w:r>
        <w:t>Regeste</w:t>
      </w:r>
    </w:p>
    <w:p>
      <w:r>
        <w:t>Rifiuto di prestazioni. Conferma della valutazione medica (perizia reuma e del CPAS), dell'inchiesta casalinga e della valutazione economica in corretta applicazione del metodo misto</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2.4.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(consid. 7. (…)” (regesto della DTV 142 V 290; cfr. al riguardo anche le STCA 32.2015.119 e 32.2015.120, entrambe del 2 agosto 2016). 2.6.   Il Tribunale federale (TF), dopo la sentenza 7186_09 del 2 febbraio 2016 della seconda sezione della Corte europea dei diritti dell’uomo nella causa Di Trizio contro Svizzera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Contestualmente la Corte europea - ricordato che non incombe a lei di annullare e/o abrogare delle disposizioni di diritto interno riconosciute contrarie alla CEDU e che le sue sentenze hanno un carattere declaratorio - ha precisato che la Svizzera può scegliere liberamente, nella misura in cui le soluzioni siano compatibili con le conclusioni di questo giudizio, in quale maniera conformarsi all’art. 46 CEDU precisando che, avuto riguardo all’insieme delle circostanze e al principio della sicurezza del diritto, la violazione della CEDU ravvisata nel caso presente non esige che si rimettano in discussione gli atti o le situazioni giuridiche analoghe stabilite precedentemente a questa sentenza – ha sviluppato la seguente giurisprudenza. Nella STF 9F_8/2016 del 20 dicembre 2016, pubblicata in DTF 143 I 50 ( pronunciandosi sulla domanda di revisione della STF 9C_49/2008 del 20 luglio 2008 a seguito della succitata sentenza 7186_09 del 2 febbraio 2016 della Corte europea dei diritti dell’uomo ) ,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TF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L’interpretazione data dal Tribunale federale nella DTF 143 I 50 (STF 9F_8/2016 del 20 dicembre 2016) è stata criticata dalla dottrina ( U. Kieser, Gemischte Methode: ein Blick auf die bisherige Rechtsprechung, in: HAVE 2016 pag. 471 seg. (474); A. Mengis, IV Mutloser Entscheid des Bundesgerichts, in: Plädoyer 1/17 pag. 12 seg. ) . Con sentenza 9C_604/2016 del 1° febbraio 2017, pubblicata in DTF 143 I 60, il TF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lettera circolare n. 355 del 31 ottobre 2016 ha segnalato che il Consiglio federale sta cercando di trovare una soluzione adeguata al problema (sull’argomento vedi la STCA 32.2016.86 del 15 maggio 2017). Nella STF 9C_297/2016 del 7 aprile 2017, pubblicata in DTF 143 V 77, il TF ha stabilito che “(…) n ell'ambito dell'esame del diritto secondo le disposizioni finali della 6 a revisione dell'AI, primo pacchetto, non è rilevante un cambiamento dello statuto della persona assicurata solo per motivi di natura familiare, anche se non costituisce la causa per la quale la procedura di revisione della rendita ha avuto inizio, di modo che lo statuto che la persona assicurata aveva fino al momento della valutazione dell'invalidità deve essere mantenuto (consid. 3.2.3) (…)” (regesto della DTF 143 V 77). Nella STF 9C_752/2016 del 6 settembre 2017 (destinata alla pubblicazione) – chiamato a pronunciarsi in un caso in cui l’autorità giudiziaria cantonale, in applicazione del metodo misto, ha confermato il diritto ad un quarto di rendita limitato nel tempo nel caso di un’assicurata che (per motivi famigliari) senza il danno alla salute si sarebbe dedicata ipoteticamente totalmente alla famiglia fino al 31 luglio 2014 prima di iniziare un’attività lavorativa nella misura del 25% con il 1. agosto 2014 e dedicarsi per il restante 75% alle mansioni consuete – il TF ha stabilito che la soppressione e/o riduzione della rendita in via di revisione va ritenuta contraria alla CEDU (violazione dell’art. 14 combinato con l’art. 8 CEDU) anche allorquando motivi famigliari hanno determinato il cambiamento di stato da assicurato senza attività lavorativa a quella di assicurato attivo parzialmente con mansioni consuete ( “(…) Nach dem Gesagten rechtfertigt es sich, die revisionsweise Aufhebung oder Herabsetzung der Invalidenrente auch dann als EMRK-widrig - als Verletzung von Art. 14 in Verbindung mit Art. 8 EMRK - zu betrachten, wenn familiäre Gründe für einen Statuswechsel von "nichterwerbstätig" zu "teilerwerbstätig" (mit Aufgabenbereich) sprechen. Der Versicherten ist die laufende Rente auch diesfalls weiterhin auszurichten (…)” (STF 9C_752/2016 del 6 settembre 2017, consid. 4.6) ) . Contestualmente la nostra Massima istanza ha sviluppato le seguenti considerazioni: " (…) 4.2. In seinem zur Umsetzung des EGMR-Urteils vom 2. Februar 2016 ergangenen, in BGE 143 I 50 publizierten Urteil 9F_8/2016 vom</w:t>
      </w:r>
    </w:p>
    <w:p>
      <w:r>
        <w:rPr>
          <w:b/>
        </w:rPr>
        <w:t>E. 20</w:t>
      </w:r>
    </w:p>
    <w:p>
      <w:r>
        <w:t>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In concreto, l'Ufficio AI ha incaricato l'assistente sociale di esperire un'inchiesta economica (doc. AI 92/418), eseguita il 29 novembre 2016 (93/419-425). Il relativo rapporto è stato allestito il 2 dicembre 2016 ed ha il seguente tenore: "(…) 5. ATTIVIT À - descrizione degli impedimenti dovuti all'invalidità 5.1 Conduzione dell'economia domestica pianificazione, organizzazione, ripartizione del lavoro, controllo importanza assegnata 5% percentuale degli impedimenti 0% percentuale di invalidità 0% L'assicurata non lamenta impedimenti a questo riguardo. Tale indicazione trova conferma anche nelle risultanze peritali. Il perito psichiatra non rileva infatti alcun grado di disabilità per quanto riguarda la voce "organizzazione dei compiti". 5.2 Alimentazione preparazione dei pasti, pulizia della cucina, riserve importanza assegnata 40% percentuale degli impedimenti 20% percentuale di invalidità 8% La signora RI 1 dichiara di non aver mai amato molto cucinare, ma ciononostante si è sempre fatta carico di tale incombenza personalmente. E questo è ancora il caso anche oggi. L'assicurata prepara pasti semplici, per sé e il marito. Le figlie sono raramente presenti a casa, impegnate come sono negli studi e fuori Cantone. Non vengono segnalati impedimenti nell'apparecchiare e sparecchiare la tavola, nel caricare e scaricare la lavastoviglie, nel riordinare il piano di lavoro ed il locale tutto. Più difficoltose risultano le pulizie approfondite degli armadi e degli elettrodomestici di cucina, che finché ha potuto ha delegato all'aiuto domiciliare. Le spese di aiuto domiciliare sono state riconosciute per alcuni mesi dalla cassa malati che poi ha sospeso tale riconoscimento in quanto, a detta dell'assicurata, la necessità dell'intervento di __________ non era più sostenuta medicalmente secondo l'avviso del perito. Non potendosi avvalere della collaborazione del marito, malato di Parkinson (sotto controllo) e da poco ristabilitosi da una frattura del femore destro, ricorre così all'aiuto delle figlie, quando presenti a casa, per i lavori fisicamente più onerosi . Per quanto riferito, compatibile a mio avviso con la certificazione medica e le risultanze peritali, valuto in misura del 20% la percentuale di impedimento in questo ambito domestico, per un minor rendimento. 5.3 Pulizia dell'appartamento rispolvero, pulizia dei pavimenti, dei vetri, rifare i letti, ecc. importanza assegnata 20% percentuale degli impedimenti 40% percentuale di invalidità 8% La signora RI 1 riferisce di occuparsi tuttora personalmente del semplice riordino dei locali, dello spolvero della mobilia, della pulizia delle vaschette, del rifacimento del letto. Cambia le lenzuola con l'aiuto del marito, a cui non può chiedere null'altro, in ragione del suo compromesso stato di salute. Per semplificarsi il compito di passare l'aspirapolvere, ha acquistato l'apposito robot, che le semplifica l'incombenza, anche se un lavoro approfondito deve essere comunque svolto una volta la settimana ed è l'assicurata stessa a provvedervi, non senza fatica. La signora RI 1 provvede anche a lavare i pavimenti e a pulire i bagni, suddividendo tali compiti sull'arco della settimana e alternando l'attività a momenti di riposo. Per un certo tempo ha potuto avvalersi della collaborazione di un aiuto domiciliare a cui delegava le incombenze di maggior peso e fatica, come la pulizia dei pavimenti, delle parti alte della casa, dei vetri e delle tende. Non potendo più contare su tale appoggio ricorre oggi all'aiuto delle figlie perlomeno in occasione delle grandi pulizie stagionali (vetri, tende, ecc.), che proprio fatica ad affrontare in ragione del pregiudicato stato di salute. Per quanto riferito, a mio avviso compatibile con le risultanze peritali, valuto in misura del 40% la percentuale di impedimento in questo ambito domestico, per un minor rendimento e le limitazioni funzionali nell’affrontare compiti fisicamente onerosi. La collaborazione del marito non è esigibile, in ragione del suo compromesso stato di salute, e quella delle figlie, molto assenti da casa, lo è in misura solo parziale. 5.4 Spesa e acquisti diversi compresi pagamenti, trattative assicurazioni e rapporti ufficiali importanza assegnata 10% percentuale degli impedimenti 20% percentuale di invalidità 2% L'assicurata riferisce di potersi tuttora occupare di persona della piccola spesa giornaliera, che effettua a __________, dove si reca volentieri anche a piedi servendosi se del caso della borsa carrello. Anche gli acquisti settimanali vengono eseguiti dall'assicurata stessa, che si reca in questo caso in automobile ai negozi di __________, a volte in compagnia del marito e a volte da sola. Talvolta si reca a piedi al negozio per gli acquisti settimanali e poi il marito la raggiunge direttamente a __________ per permetterle poi di caricare le borse in automobile. Non ama invece particolarmente i centri commerciali, che frequenta unicamente in caso di assoluto bisogno. Non si sente a suo agio tra la folla e la confusione e sceglie per questo i momenti di minor affluenza. Quando le figlie sono presenti, e la spesa si fa di conseguenza più impegnativa, si avvale della loro collaborazione e partecipazione, per il trasporto delle borse pesanti. Provvede di persona alla gestione burocratico-amministrativa e ai pagamenti di fine mese. Per quanto illustrato, compatibile a mio avviso con le risultanze peritali, valuto in misura del 20 % la percentuale di impedimento in questo ambito domestico per le limitazioni funzionali nel trasporto di pesi anche di lieve-media entità. 5.5 Bucato, confezione e riparazioni di indumenti lavare, stendere, stirare, cucire, lavorare a maglia, ecc. importanza assegnata 20% percentuale degli impedimenti 20% percentuale di invalidità 4% L'assicurata condivide con gli inquilini il locale lavanderia, a cui ha comunque ampia libertà di accesso. Il locale è collocato al piano cantina e per non caricarsi del peso della cesta ha escogitato il modo di far rotolare dalle scale il sacco dei vestiti sporchi. Oppure suddivide su più viaggi il carico. La signora RI 1 non segnala impedimenti nel suddividere i panni, nell'inserirli in lavatrice e nello stenderli sui fili presenti nel locale. Una volta asciutti i panni vengono ritirati e stirati dall'assicurata stessa, che è solita stirare gran parte del bucato, senza particolari esclusioni. Suddivide però tale compito sull'arco della settimana, per non sovraccaricarsi oltremodo e in funzione dello stato di salute del momento. Per le difficoltà presenti a livello delle spalle e delle mani ha abbandonato il lavoro a maglia e il cucito, oggi limitato a semplici rammendi e riparazioni. Per quanto riferito, a mio avviso compatibile con le risultanze peritali, valuto in misura del 20 % la percentuale di impedimento in questo ambito domestico, per un minor rendimento. 5.6. Cura dei bambini e di altri membri della famiglia Compresa educazione, attività comuni, compiti, ecc. importanza assegnata 0% percentuale degli impedimenti percentuale di invalidità 0% 5.7 Diversi cura delle piante, giardinaggio, cura degli animali, attività di utilità pubblica, creazione artistica, impegno a favore di terzi, volontariato importanza assegnata 5% percentuale degli impedimenti 20% percentuale di invalidità 1% L'assicurata riferisce di essere stata in passato una donna molto sportiva, ma con l'insorgere dei problemi di salute ha dovuto gradualmente ridurre le sue attività. Oggi anche una semplice passeggiata in montagna si rivela superiore alle sue forze e la lascia dolorante e sfinita per più giorni di seguito. Dello spazio esterno è sempre stato responsabile il marito e con l'aggravarsi delle sue condizioni di salute l'assicurata ha cercato via via di sostituirlo, perlomeno nei compiti meno gravosi, come tagliare l'erba e raccogliere le foglie in autunno. Per la potatura delle piante e la cura della vite è però costretta a rivolgersi a un giardiniere. Non viene indicata alcuna difficoltà nel prestare le cure del caso al gatto di casa. Per quanto riferito, compatibile a mio avviso con le risultanze peritali, valuto in misura del 20% la percentuale di impedimento in questo ambito domestico, per le difficoltà nel provvedere a compiti fisicamente impegnativi. Valutazione dell'assistente sociale totale delle attività 100% percentuale di invalidità</w:t>
      </w:r>
    </w:p>
    <w:p>
      <w:r>
        <w:rPr>
          <w:b/>
        </w:rPr>
        <w:t>E. 23</w:t>
      </w:r>
    </w:p>
    <w:p>
      <w:r>
        <w:t>% ■ Chi esegue i lavori, che a causa della sua invalidità, l'assicurata non può svolgere personalmente nell'economia domestica? Indicare il nome, l'indirizzo, il grado di parentela, genere dei lavori delegati, ore di lavoro per settimana e salario orario versato I familiari e un giardiniere. […] Da quando il danno alla salute ha avuto ripercussioni sulla capacità al lavoro? Dal mese di dicembre 2014. (…)" (doc. AI 93/422-425).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famigliari nelle faccende domestiche. A questo proposito va evidenziato come l’assistente sociale abbia considerato l’aiuto limitato del marito ( “(…) malato di Parkinson (sotto controllo) e da poco ristabilitosi da una frattura del femore destro. (…)” (doc. AI 93/422) ) e delle figlie ( “(…) quando presenti in casa, per i lavori fisicamente più onerosi. (…)” (doc. AI 93/422) ) e che l’insorgente non ha contestato che lei stessa ha delegato alcune attività ai familiari. Quanto all’aiuto dei familiari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familiari. Va qui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vedi anche la STFA I 35/00 del 14 luglio 2000, consid. 3 con riferimenti). Il TF, nella STF 9C_701/2016 del 1. marzo 2017, ha ribadito questo concetto argomentando: " (…) 4.3. Dass die Vorinstanz von der "Schadenminderungspflicht der Familienangehörigen" gesprochen hat, schadet nicht, hat sie doch mit Verweis auf BGE 133 V 504 E. 4.2 S. 509 f. zutreffend präzisiert, dass die Versicherte (im Rahmen der sie selber treffenden Schadenminderungspflicht) die Hilfe ihrer Familienangehörigen in Anspruch nehmen muss (vgl. auch BGE 141 V 642 E. 4.3.2 S. 648 mit Hinweisen). Anhaltspunkte dafür, dass die Abklärungsperson diese Mithilfe in unzumutbarem Ausmass berücksichtigt haben soll, sind nicht ersichtlich. (…)" (STF 9C_701/2016 del 1. marzo 2017 consid. 4.3) 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29 novembre 2016 va confermata. Infatti, un intervento da parte dell'autorità giudiziaria nell'apprezzamento della persona incaricata dell'inchiesta si giustifica unicamente nei casi in cui esso appaia chiaramente erroneo (DTF 128 V 93 consid. 4; STFA I 681/02 dell’11 agosto 2003 consid. 2). In particolare non è possibile concludere per un apprezzamento chiaramente erroneo per il fatto che, secondo l’insorgente, la valutazione dei compiti di casalinga sarebbe “(…) in contraddizione con le osservazioni del perito psichiatra, quando per esempio considera di 20% la capacità lavorativa nelle attività amministrative mentre lo psichiatra la considera totale. (…)” (I). In effetti l’assistente sociale ha evidenziato come l’insorgente “(…) provvede di persona alla gestione burocratico-amministrativa e ai pagamenti di fine mese. (…)” (doc. AI 93/423) e la percentuale degli impedimenti del 20%, ritenuta al punto 5.4, si riferisce alla voce “Spesa e acquisti diversi” che comprende “pagamenti, trattative assicurazioni e rapporti ufficiali” . In casu non solo non vi sono motivi per ritenere l’apprezzamento manifestamente erroneo, ma esso viene in sostanza confermato anche dalle valutazione mediche peritali laddove il dr. __________ ha concluso che “per quanto riguarda i lavori domestici ritengo modulare autonomamente i ritmi e i compiti del lavoro e giudico una IL del 20%. (…)” (doc. AI 81/377) dal 6 novembre 2015 ( “(…) l’IL del 20% in qualità di casalinga da me attestata parte dal 06.11.2015. (…)” (doc. AI 90/412) ) e i periti del CPAS che “(…) in qualità di casalinga la capacità lavorativa sembra essere sempre stata piena sul piano medico teorico. (…)” (doc. AI 88/409). Per tutti i motivi suesposti la valutazione dell’assistente sociale del 29 novembre 2016 (invalidità quale casalinga del 23%; cfr. doc. AI 93/424) va dunque confermata. Le ulteriori allegazioni ricorsuali – “(…) la valutazione dei compiti di una casalinga sembra fatta nel presente caso in modo molto astratto se non spannometrico […].” Tale valutazione sembra realmente molto discutibile, i parametri di valutazione delle varie percentuali non sono per nulla spiegati come non vengono per nulla spiegati i tassi d’invalidità ritenuti nelle varie attività. (…)” – sono contraddette dalla valutazione dell’assistente sociale sopra riprodotta in esteso e l’insorgente non si è nemmeno confrontato in modo preciso con la stessa limitandosi a delle affermazioni generiche prive di motivazione che non meritano ulteriori approfondimenti trattandosi di semplici allegazioni di parte.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Di conseguenza l’impedimento nell’attività di casalinga è del 23% e deve essere posto alla base del presente giudizio non essendoci nessun motivo (fattuale e medico) per mettere in discussione la scelta di basarsi su quanto accertato in sede di inchiesta domiciliare da una persona esperta in materia. 2.13.2.3.   Visti i gradi d’impedimento, per la parte salariata del 41.50% (cfr. consid. 2.13.2.1) e per quella casalinga del 23% (cfr. consid. 2.13.2.2), rispettando la suddivisione dei campi d’attività (50% salariata e 50% casalinga; cfr. consid. 2.9) e in applicazione del metodo misto (cfr. consid. 2.6 e 2.8) il grado d’invalidità globale si attesta al 32% (50 [parte salariata] x 41.50% [impedimento parte lucrativa] + 50 [parte casalinga] x 23% [tasso di impedimento nelle mansioni consuete] = 20.75% + 11,5% = 32,25%, arrotondato al 32% secondo la DTF 130 V 121 consid. 3.2). Questo grado d’invalidità non conferisce il diritto ad una rendita d’invalidità (cfr. consid. 2.2). 2.14.   Da quanto sopra esposto risulta che a ragione l’amministrazione ha negato all’insorgente il diritto ad una rendita d’invalidità. Quanto ai provvedimenti professionali questo Tribunale può fare propria la conclusione del consulente in integrazione professionale (rimasta incontestata) secondo cui “(…) tenuto conto dell’iter professionale, della CL certificata in sede medica e dell’età dell’A. non si propongono provvedimenti professionali. Su richiesta scritta dell’A. può essere offerto un sostegno nella ricerca di un impiego tramite il servizio di collocamento. (…)” (doc. AI 96/431). 2.15.   In simili circostanze, visto tutto quanto precede, la decisione impugnata va dunque confermata e il ricorso respinto. 2.16.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delle vertenze,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