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32.2017.50 vom 23. Februar 2017</w:t>
      </w:r>
    </w:p>
    <w:p>
      <w:r>
        <w:t>TI Tribunale d'appello, 2017-02-23, IT</w:t>
      </w:r>
    </w:p>
    <w:p>
      <w:r>
        <w:rPr>
          <w:b/>
        </w:rPr>
        <w:t xml:space="preserve">Quelle: </w:t>
      </w:r>
      <w:r>
        <w:t>https://mcp.opencaselaw.ch/entscheid/ti_gerichte_32.2017.50</w:t>
      </w:r>
    </w:p>
    <w:p>
      <w:r>
        <w:t>FR: TI_GERICHTE 32.2017.50 du 23 février 2017</w:t>
      </w:r>
    </w:p>
    <w:p>
      <w:r>
        <w:t>IT: TI_GERICHTE 32.2017.50 del 23 febbraio 2017</w:t>
      </w:r>
    </w:p>
    <w:p>
      <w:pPr>
        <w:pStyle w:val="Heading2"/>
      </w:pPr>
      <w:r>
        <w:t>Erwägungen</w:t>
      </w:r>
    </w:p>
    <w:p>
      <w:r>
        <w:rPr>
          <w:b/>
        </w:rPr>
        <w:t>E. 29</w:t>
      </w:r>
    </w:p>
    <w:p>
      <w:r>
        <w:t>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Nella presente fattispecie, l’Ufficio AI ha ordinato una perizia presso la Clinica __________ di __________. Dal referto datato 3 maggio 2016 (doc. 104 incarto AI) risulta che la dr.ssa __________, fondandosi sulla documentazione medica presente agli atti, dopo aver proceduto ad una visita, ha posto le seguenti diagnosi: " (…) Sindrome dolorosa panvertebrale con: · Componente lombare e sacrale su gravi alterazioni spondilartrosiche L4-L5 e soprattutto L5-S1 senza segni di irritazione radicolare ed importante artrosi sacroiliaca bilaterale più grave a destra, · Dolore di tipo mio-fasciale a livello cervico-dorso-lombare. (…)” (pag. 319 incarto AI Essa ha concluso quanto segue: " (…) Alla luce dell’anamnesi e dell’esame clinico, nella sua ultima attività svolta come posatore di serramenti che si occupa solo di attività lavorative leggere (rilievo misure, controllo della qualità di posa, organizzare il lavoro d’equipe e prendere contatti con la clientela), impiego svolto alternando le posture, che non richiede il trasporto di pesi o attività fisicamente pesanti, si ritiene giustificata una inabilità lavorativa del 30%, da intendersi come riduzione consensuale del rendimento nell’arco di una giornata di 8 ore, a decorrere dal 29.04.2016. L’attività lavorativa svolta attualmente è già adeguata alle proprie condizioni cliniche  globali. (…)” (pag. 320 incarto AI) Con rapporto 15 giugno 2016 la succitata sanitaria ha confermato la perizia (cfr. doc. 120 incarto AI). L’aspetto psichiatrico è stato valutato dal dr. __________ del CPAS. Nel rapporto 14 settembre 2016 il citato specialista in psichiatria e psicoterapia, diagnosticato un episodio depressivo di lieve media gravità ancora in fase subacuta (ICD 10 F32.20), ha proceduto alle seguenti conclusioni: " (…) In conclusione ritengo che l’assicurato, a partire dal maggio 2016 (rilievo di peggioramento clinico come riportato dall’assicurato stesso e richiesta di presa in carico specialistica), presenti una IL del 25% intesa come diminuzione del rendimento di ogni attività. Le limitazioni precedenti non sembrano essere attribuibili ad una specifica patologia psichiatrica. Sul piano medico teorico, nell’attività equivalente a quella di casalinga, l’assicurato presenta una CL piena. Con un trattamento adeguato (farmacoterapia antidepressiva) l’assicurato potrebbe a mio avviso raggiungere un miglioramento clinico e con esso della capacità lavorativa nell’arco di sei mesi stimabile in almeno un 10%. Molto indicato un aiuto al collocamento che potrebbe favorire ulteriormente la resilienza (in un lavoro ovviamente confacente alle limitazioni somatiche e possibilmente nel campo lavorativo da sempre svolto e di suo precipuo interesse); ritengo invece che, qualora l’assicurato permanga in uno stato di inattività, si favorirebbe una cronicizzazione e potenzialmente anche un aggravamento del quadro psicopatologico che verosimilmente comporterebbe un ulteriore peggioramento del suo funzionamento.” (pag. 393 incarto AI) Dal punto di vista cardiologico, con rapporto 14 marzo 2016 lo specialista dr. __________ ha valutato l’assicurato abile al 100% nella sua ultima attività lavorativa, definita di “… natura intellettuale e (...) impegno fisico di natura lieve “, precisando che un lavoro pesante non è più esigibile (pag. 285 incarto AI). Infine, con rapporto 23 settembre 2016 il dr. __________ del SMR ha globalmente valutato l’assicurato inabile al 30% sia nell’ultima professione sia in attività con mansioni leggere dal 29 aprile 2016 (giorno successivo alla vista peritale dell’assi-curato presso la dr. ssa __________ della Clinica __________ di __________), preceduta da una totale inabilità lavorativa in qualsiasi attività dal 25 novembre 2014 (doc. 129 incarto AI). Ora, viste le succitate conclusioni mediche, frutto di accurate e complete valutazioni, questo TCA non ha motivo per distanziarsene, ritenuto inoltre che non sono state smentite da certificati medico-specialistici attestanti delle patologie maggiormente invalidanti, in grado di influire sulla capacità lavorativa residua dell’interessato. In sede di ricorso egli ha unicamente fatto valere: " (…) Con riferimento alla perizia della dott.ssa __________ osservo che sono stato dalla stessa per un tre quarti d’ora al massimo e non mi ha fatto particolare visita. Mi ha fatto camminare, alzare un peso di 5 kg, controllato il movimento, mentre il mio problema è la resistenza. Come succede per l’attività che svolgo ora: ogni 20 minuti (di più non resisto) mi devo alzare e camminare per almeno 10 minuti buoni. Questa mia condizione non è stata presa in considerazione. Mi sembra quindi che l’accertamento medico doveva incentrarsi anche su questo aspetto, ciò che chiedo di fare.” (doc. I) A prescindere che, come si legge alla prima pagina del rapporto peritale della dr.ssa __________, l’esame è durato dalle 13.05 alle 15.00 (pag. 314 incarto AI), il TF ha già avuto modo di rilevare che il valore probatorio di un rapporto medico non dipende, di massima, dalla durata della visita, quanto piuttosto dalla sua completezza e concludenza (cfr. sentenza 9C_1013/2008 del 23 dicembre 2009, I 1094/06 del 14 novembre 2007, in RSAS 2008 pag. 393 consid. 3.1.1 con riferimenti). A tal proposito, questo Tribunale non ha motivo per mettere in dubbio la perizia della dr.ssa __________. Essa ha tenuto conto dei disturbi elencati dall’assicurato (cfr. sub “Descrizione dei disturbi”, pag. 317 incarto AI), compreso quindi il problema segnalato nel ricorso, tant’è che nella valutazione della parziale incapacità lavorativa la perita ha inserito quale limitazione fisica anche quella di alternare le posture. Ne consegue che la valutazione medico-teorica operata dall’Ufficio AI va confermata. 2.6.   In merito all’esigibilità in attività adeguate, nel caso concreto nel rapporto 18 maggio 2016 la consulente in integrazione professionale, ripercorso l’iter formativo e professione dell’assicurato, ha ritenuto: " (…) A livello medico l’A. risulta abile nella misura del 70% in attività consone allo stato di salute. Viene inoltre definito che, il lavoro svolto presso la __________, con mansioni leggere è esigibile nella misura del 70%. L’attuale contratto di lavoro è stato sciolto ciò non toglie che l’A. possa svolgere una simile mansione (rilievo misure, controllo cantieri, organizzare lavoro di équipe, contatti con la clientela) presso un ulteriore datore di lavoro. L’A. potrebbe inoltre svolgere lavori di rappresentanza. (…)” (pag. 334 incarto AI) Va poi rilevato, come giustamente evidenziato in sede di risposta, che l’effettiva reintegrabilità lavorativa dell’assicurato – nonostante la sua età (classe 1956) e visto che il</w:t>
      </w:r>
    </w:p>
    <w:p>
      <w:r>
        <w:rPr>
          <w:b/>
        </w:rPr>
        <w:t>E. 30</w:t>
      </w:r>
    </w:p>
    <w:p>
      <w:r>
        <w:t>aprile 2015 ha terminato l’attività presso __________ (cfr. questionario 16 settembre 2016 dell’ex datore di lavoro; doc. 80 incarto AI) – è concretamente suffragata dalla stipulazione – dopo il periodo di prova – del contratto di lavoro (del 20 aprile 2017) con la __________ con compiti di “ gestione dei lavori sui cantieri ed il rapporto con fornitori ed operai ”, attività leggera ed adeguata svolta nella misura dell’80% (doc. IV/3; cfr. consid. 1.4). Infine, nelle osservazioni 11 maggio 2017 l’assicurato sostiene che, nonostante la buona volontà, non è sicuro di essere in grado di continuare la succitata attività a causa dei grossi problemi alla schiena. A tal riguardo, si ricorda al ricorrente che il presente giudizio non pregiudica eventuali suoi diritti nei confronti dell’assicurazione federale per l’invalidità insorti in epoca successiva all’emissione della decisione contestata (in casu: 23 febbraio 2017), che delimita il potere cognitivo del giudice (cfr. DTF 130 V 140 e 129 V 4). Infatti, in caso di peggioramento rilevante delle condizioni di salute, comprovato da pertinente documentazione medica, il ricorrente potrà in futuro presentare una nuova domanda di prestazioni. 2.7.   Occorre ora procedere alla graduazione dell’invalidità mediante il metodo ordinario (cfr. consid. 2.3), il cui calcolo, rimasto incontestato, è stato esposto nella decisione impugnata.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in fr. 70'200.--, corrispondente al salario percepito da __________ così come risulta dal già citato questionario dell’ex datore di lavoro (doc. 80 incarto AI), adeguato al 2014 (cfr. pag. 324 incarto AI). Tale importo è del resto maggiore di quello utilizzato (fr. 51'721.-- di reddito da indipendente) nella decisione 21 marzo 2013 di rendita temporanea (cfr. consid. 1.1).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come risulta dalla decisione impugnata, l’Ufficio AI ha proceduto come segue: " (…) Salario da invalido Attività abituale Nella sua professione di responsabile cantieri al 70% ne risulta un salario annuo di CHF 49'140.-- . Attività adeguata A seguito della sentenza del Tribunale cantonale delle assicurazioni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nel 2014 lei avrebbe potuto realizzare un salario mensile di CHF 5'289.35 (attività semplici e ripetitive, valore mediano). Riportando questo dato su 41.7 ore esso ammonta a CHF 5'514.15 mensili oppure a CHF 66'169.75 per l’intero anno. Si ritiene opportuno effettuare una riduzione del 30% per motivi medico-teorici, del 5% per attività leggera e del 5% per svantaggi salariali derivanti da contingenze particolari. Ne risulta un reddito da invalido di CHF 41'686.90. (…)” (pag. 418 incarto AI) Ritenuto come l’assicurato metta a maggior frutto la sua residua capacità nell’originaria attività svolta al 70%, giustamente l’amministrazione ha cifrato il reddito da invalido in fr. 49'140, pari a fr. 4'095 al mese, importo che sostanzialmente corrisponde al salario mensile pattuito con la __________ (fr. 4'000; cfr. rapporto 18 aprile 2017 della consulente in IV/2). Dal raffronto tra i redditi si giunge ad un grado d’invalidità del 30% ([70'200 - 49'140 ] x 100 : 70'200, arrotondato secondo la giurisprudenza di cui alla DTF 130 V 121 consid. 3.2). L’Ufficio AI ha di conseguenza correttamente soppresso la rendita intera dal 1° agosto 2016, ossia tre mesi dopo il miglioramento della capacità lucrativa - fissato al 29 aprile 2016 - come prescritto dall’art. 88a cpv. 1 OAI (cfr. consid. 1.2 ). In conclusione, visto quanto sopra, la decisione contestata merita conferma, mentre il ricorso va respinto.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