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32.2017.112 vom 7. Juni 2017</w:t>
      </w:r>
    </w:p>
    <w:p>
      <w:r>
        <w:t>TI Tribunale d'appello, 2017-06-07, IT</w:t>
      </w:r>
    </w:p>
    <w:p>
      <w:r>
        <w:rPr>
          <w:b/>
        </w:rPr>
        <w:t xml:space="preserve">Quelle: </w:t>
      </w:r>
      <w:r>
        <w:t>https://mcp.opencaselaw.ch/entscheid/ti_gerichte_32.2017.112</w:t>
      </w:r>
    </w:p>
    <w:p>
      <w:r>
        <w:t>FR: TI_GERICHTE 32.2017.112 du 7 juin 2017</w:t>
      </w:r>
    </w:p>
    <w:p>
      <w:r>
        <w:t>IT: TI_GERICHTE 32.2017.112 del 7 giugno 2017</w:t>
      </w:r>
    </w:p>
    <w:p>
      <w:pPr>
        <w:pStyle w:val="Heading2"/>
      </w:pPr>
      <w:r>
        <w:t>Regeste</w:t>
      </w:r>
    </w:p>
    <w:p>
      <w:r>
        <w:t>Nuova domanda. A torto l'Ufficio AI non entra nel merito</w:t>
      </w:r>
    </w:p>
    <w:p>
      <w:pPr>
        <w:pStyle w:val="Heading2"/>
      </w:pPr>
      <w:r>
        <w:t>Erwägungen</w:t>
      </w:r>
    </w:p>
    <w:p>
      <w:r>
        <w:rPr>
          <w:b/>
        </w:rPr>
        <w:t>E. 2</w:t>
      </w:r>
    </w:p>
    <w:p>
      <w:r>
        <w:t>con riferimenti, 109 V 262, 105 V 30; in argomento vedi anche Meyer/Reichmuth, Rechtsprechung des Bundesgerichts zum IVG, 2014, ad art. 30/31, pag. 430-433).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64 consid. 5.2.5).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2.4.   Nell’ambito dell’art. 87 cpv. 2 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STF 8C_716/2011 del 5 gennaio 2012; STF 9C_667/2010 del 28 aprile 2011, STF 9C_688/2007 del 22 gennaio 2008 tutte con riferimenti). Più la precedente decisione è distante nel tempo, meno esigenze sono poste alla verosimiglianza ex art. 87 cpv. 2 e 3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riportato nella STFA I 619/04 del 10 febbraio 2005, consid.</w:t>
      </w:r>
    </w:p>
    <w:p>
      <w:r>
        <w:rPr>
          <w:b/>
        </w:rPr>
        <w:t>E. 3</w:t>
      </w:r>
    </w:p>
    <w:p>
      <w:r>
        <w:t>) . In questo senso nella succitata STF 8C_716/2011 del 5 gennaio 2012 il TF ha, in particolare, rilevato che “(…)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 consid. 2b pag. 114; cfr. pure SVR 2003 IV no. 25 pag. 76, consid. 2.2). (…).” (STF 8C_716/2011 del 5 gennaio 2012, consid. 2.3). 2.5.   Nel caso in esame, come accennato (cfr. consid. 1.1), una prima domanda di prestazioni dell’aprile 2011 era stata respinta – dopo aver interpellato il dr. __________, FMH in medicina interna (cfr. il rapporto medico sub doc. AI 11/2024) – mediante decisione del 29 luglio 2011 (doc. AI 20/41-42) avendo il medico SMR dr. __________, FMH in psichiatria e psicoterapia, concluso che “(…) siamo in assenza di qualsiasi elemento oggettivo, che evidenzi un qualsiasi disturbo psichico, con o senza influenza sulla capacità lavorativa, ma sono enunciati con chiarezza solo aspetti "sociali". (…)” (doc. AI 15/33) rispettivamente che “(…) pur riconoscendo che si tratta di un caso che richiede la giusta attenzione da parte dell'Assistenza Sociale, non ho elementi per modificare la mia precedente presa di posizione, dal lato medico-psichiatrico. (…)” (doc. AI 18/39). 2.6.   Nell’ambito della nuova domanda di prestazioni dell’aprile 2017 (cfr. consid. 1.3) all’Ufficio AI sono pervenuti il certificato medico 20 aprile 2017 del dr. __________, FMH in medicina interna generale, (doc. AI 27/67) e il rapporto 21 aprile 2017 del dr. __________, FMH in psichiatria e psicoterapia, (doc. AI 28/68-69). Il dr. __________ ha attestato che “(…) in qualità di medico curante del sopraccitato paziente, certifico che lo stato di salute del paziente è ulteriormente peggiorato negli ultimi mesi, sia a livello fisico che a livello psichico, non permettendogli di esercitare un’attività lavorativa. (…)” (doc. AI 27/67). Questo Tribunale, vista la stringatezza del certificato con indicazione del tutto generica di peggioramento dello stato di salute, conformemente alla succitata giurisprudenza (cfr. consid. 2.4 e 2.5), deve concludere che con il certificato medico del dr__________ l’insorgente non ha in nessun modo reso verosimile una rilevante modifica suscettibile di influenzare il diritto alla rendita. Diversa è la situazione per quanto riguarda il rapporto del 21 aprile 2017 del dr. __________ (doc. AI 28/68-69). Innanzitutto va rilevato che, dopo la decisione del 29 luglio 2011 con cui l’Ufficio AI aveva rifiutato il diritto a prestazioni (cfr. consid. 1.1), l’assicurato ha dovuto essere seguito a diverse riprese da uno specialista in psichiatria. Infatti, il dr. __________, FMH in psichiatria e psicoterapia, nel rapporto del 21 aprile 2017 ha, in particolare, attestato che “(…) per problemi di depressione, ansia generalizzata con sentimenti di esclusione sociale e disturbi del sonno assai pronunciati il paziente venne quindi per la prima volta seguito dal sottoscritto per un certo periodo nel corso del 2013 dopodiché interrotta la cura non sarebbe più stato seguito a livello psichiatrico fino al momento attuale in cui avvertendo una recidiva delle forti ansie accompagnata da una problematica sociale complessa ha chiesto ed ottenuto da parte [del] proprio medico curante Dr. __________ di __________ di riprendere il trattamento specialistico interrotto quattro anni or sono. II paziente risulta in questo momento sottoposto ad una terapia psicofarmacologica a base di ansiolitici e induttori del sonno. Oltre al problema ansioso generalizzato e legato all'insonnia il paziente descrive una condizione di groviglio di pensieri e di immagini relative alle vicissitudini della sua vita e alle difficoltà nel mantenere rapporti interpersonali e legami di appartenenza a causa di una condizione di disagio psichico caratterizzato dalla presenza di una sensibilità critica accentuata. Dal lato diagnostico va tenuto conto della presenza di una depressione ricorrente atipica con ansia sociale accentuata e insonnia, sintomatologia che oltre a necessitare di una presa a carico specialistica continuativa entra in linea di conto per una richiesta di invalidità fondata su elementi clinici di portata rilevante. (…)” (doc. AI 28/69). Rilevato, da una parte, che ai sensi dell’art. 87 cpv. 2 e 3 OAI è sufficiente rendere verosimile un rilevante cambiamento e non è richiesta la prova della verosimiglianza preponderante valida nell’ambito delle assicurazioni sociali (cfr. consid. 2.4) e, dall’altra parte, che dalla decisione di rifiuto di prestazioni del 29 luglio 2011 a quella oggetto della presente vertenza sono trascorsi quasi sei anni (va qui ribadito che se la precedente decisione è distante nel tempo, meno esigenze sono poste alla verosimiglianza ex art. 87 cpv. 2 e 3 OAI; cfr. la succitata STF 8C_716/2011 del 5 gennaio 2012, consid. 2.3), questo Tribunale ritiene che, tramite il rapporto del 21 aprile 2017 del dr. Mari, l’insorgente ha reso verosimile un rilevante cambiamento dello stato di salute e che pertanto l’ammini-strazione avrebbe dovuto entrare nel merito della domanda di prestazioni del 10 aprile 2017. Non è possibile concludere differentemente anche avuto riguardo alle conclusioni del medico SMR dr. __________ secondo il quale il dr. __________ “(…) descrive le note avversità bio-sociali sofferte dall’assicurato, ponendo infine diagnosi di depressione ricorrente atipica con ansia sociale associata ad insonnia. Non si ha, tuttavia, evidenza di un'effettiva presa a carico, il certificato è stato compilato dopo una singola visita. Non è esplicitato alcun segno chiaro che giustifichi una depressione ricorrente, per quanto concerne la definizione di "atipico" questa può essere associata a sindrome tanto numerose da scoraggiare di classificarne i criteri, di norma correlati a condizioni esogene e non endogene. In conclusione, in assenza di una descrizione oggettiva di segni e/o sintomi di una patologia psichiatrica classificabile secondo ICD 10 o DSM, e non unicamente di disagio sociale, non vi sono elementi per entrare in materia. (…)” (doc. AI 31/74). In effetti, visto che nel rapporto del 21 aprile 2017 (doc. AI 28/68-69) il dr. __________ evidenzia che “(…) in relazione alla visita effettuata in data 03.04.2017 su segnalazione del medico curante del paziente Dr. __________ di __________ e alle successive avvenute in seguito (…)” (doc. AI 28/68 la sottolineatura è del redattore), non è dato a sapere come il dr. __________, nell’annotazione del 6 giugno 2017, abbia potuto ritenere che “(…) non si ha, tuttavia, evidenza di un’effettiva presa a carico, il certificato è stato compilato dopo una singola visita. (…)” (doc. AI 31/74). Questo vale a maggiore ragione visto anche che il dr. __________ non ha nemmeno visitato l’assicurato. Va qui inoltre rilevato che dalla sola diagnosi non è possibile ancora concludere in merito alla capacità lavorativa e che il dr __________ ha concluso per una “(…) sintomatologia che oltre a necessitare di una presa a carico specialistica continuativa entra in linea di conto per una richiesta di invalidità fondata su elementi clinici di portata rilevante. (…)” (doc. AI 28/69, la sottolineatura è del redattore). In questo senso questo Tribunale ritiene che la conclusione del dr. __________ secondo la quale “(…) non è esplicitato alcun segno chiaro che giustifichi una depressione ricorrente, per quanto concerne la definizione di "atipico" questa può essere associata a sindrome tanto numerose da scoraggiare di classificarne i criteri, di norma correlati a condizioni esogene e non endogene. In conclusione, in assenza di una descrizione oggettiva di segni e/o sintomi di una patologia psichiatrica classificabile secondo ICD 10 o DSM, e non unicamente di disagio sociale, non vi sono elementi per entrare in materia. (…)” (doc. AI 31/74) non basta per escludere il rilevante cambiamento reso verosimile dall’insorgente . 2.7.   In simili circostanze, visto tutto quanto precede, questo Tribunale deve concludere che l’insorgente ha reso verosimile un rilevante cambiamento ai sensi dell’art. 87 cpv. 2 e 3 OAI. La decisione impugnata va pertanto annullata e gli atti rinviati all’amministrazione perché entri nel merito della nuova domanda ed, attraverso accertamenti medici psichiatrici, esamini se il peggioramento reso verosimile in quest’ambito sia effettivamente subentrato e, nell’affermativa, in che misura esso incida sui presupposti del diritto a prestazioni e sulla capacità di guadagno dell’assicurato.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ciò che rende priva di oggetto la domanda di esonero dalle stesse.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