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32.2016.34 vom 8. März 2016</w:t>
      </w:r>
    </w:p>
    <w:p>
      <w:r>
        <w:t>TI Tribunale d'appello, 2016-03-08, IT</w:t>
      </w:r>
    </w:p>
    <w:p>
      <w:r>
        <w:rPr>
          <w:b/>
        </w:rPr>
        <w:t xml:space="preserve">Quelle: </w:t>
      </w:r>
      <w:r>
        <w:t>https://mcp.opencaselaw.ch/entscheid/ti_gerichte_32.2016.34</w:t>
      </w:r>
    </w:p>
    <w:p>
      <w:r>
        <w:t>FR: TI_GERICHTE 32.2016.34 du 8 mars 2016</w:t>
      </w:r>
    </w:p>
    <w:p>
      <w:r>
        <w:t>IT: TI_GERICHTE 32.2016.34 del 8 marzo 2016</w:t>
      </w:r>
    </w:p>
    <w:p>
      <w:pPr>
        <w:pStyle w:val="Heading2"/>
      </w:pPr>
      <w:r>
        <w:t>Regeste</w:t>
      </w:r>
    </w:p>
    <w:p>
      <w:r>
        <w:t>Prima domanda di prestazioni respinta. Conferma della valutazione medica operata dal SMR. Nessun grado d'invalidità pensionabile</w:t>
      </w:r>
    </w:p>
    <w:p>
      <w:pPr>
        <w:pStyle w:val="Heading2"/>
      </w:pPr>
      <w:r>
        <w:t>Erwägungen</w:t>
      </w:r>
    </w:p>
    <w:p>
      <w:r>
        <w:rPr>
          <w:b/>
        </w:rPr>
        <w:t>E. 2</w:t>
      </w:r>
    </w:p>
    <w:p>
      <w:r>
        <w:t>settembre 2014 l’assicurato ha chiesto l’erogazione di un assegno per grandi invalidi (doc. AI 45), richiesta respinta dall’Ufficio AI con decisione del 29 settembre 2015. Con sentenza 18 aprile 2016 questo TCA ha parimenti respinto il ricorso inoltrato dall’assicurato contro la succitata decisione amministrativa (inc. 32.2015.147). Il successivo ricorso di diritto pubblico al TF è stato dichiarato irricevibile con pronunzia del 5 luglio 2016 (9C_356/2016). 1.2.   Nel giugno 2014 l’assicurato ha presentato una domanda di prestazioni AI per adulti (doc. AI 4). Esperiti gli accertamenti del caso, sulla base del rapporto 4 settembre 2015 del SMR (doc. AI 155) – che ha ritenuto l’assicurato inabile al 100% nella sua originaria attività dal 27 luglio 2014, ma pienamente abile in attività adeguate dal 1° luglio 2015 -, dopo aver proceduto al raffronto dei redditi dal cui calcolo non è risultato alcun grado d’incapacità al guadagno, con decisione 8 marzo 2016, preavvisata il 29 gennaio 2016, l’Ufficio AI ha negato il diritto a provvedimenti professionali come pure al versamento di una rendita. Contestualmente l’amministrazione ha diffidato l’assicurato ex art. 21 cpv. 4 LPGA ad adattare l’apparecchio acustico. 1.3.   Contro la decisione di diniego di prestazioni l’assicurato ha interposto ricorso al TCA. Postulando l’assegnazione di un avvocato d’ufficio, chiede il riesame degli atti con conseguente accettazione della domanda di assegno per grandi invalidi, un sostegno al reinserimento professionale e sociale e – in caso di mancato riconoscimento di una grande invalidità – il diritto ad essere posto al beneficio di una riqualifica professionale. Chiede inoltre la sospensione di tre funzionari dell’Ufficio AI (dei quali ha fornito il nominativo) “per incompatibilità e incompetenza per svolgere tale ruolo” , nonché di denunciare alle competenti autorità penali per razzismo e per discriminazione di invalidi i tre summenzionati funzionari, la __________, la __________ “ed altri enti che si spacciano per associazione di aiuto agli invalidi ma che invece spesso li discrimino”. 1.4.   Con la risposta di causa, l’amministrazione postula la reiezione del ricorso, confermando sia la valutazione medico-teorica che economica.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8C_855/2010 dell’11 luglio 2011; 9C_211/2010 del 18 febbraio 2011). Nel merito 2.2.   Oggetto del contendere è sapere se l’assicurato ha diritto ad un rendita d’invalidità. Di conseguenza la richiesta di essere posto al beneficio di un assegno per grandi invalidi esula dalla presente procedura, la cui richiesta, come visto al consid. 1.1 è stata respinta. Inoltre, questo TCA non è competente per decidere in merito alla sospensione dei citati tre funzionari dell’Ufficio AI, come pure d’inoltrare le chieste denunce penali. 2.3.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Basilea/Ginevra/Monaco di Baviera 2007, pag. 1411, n. 46 ).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2.4.   Nella presente fattispecie, questo TCA ritiene che correttamente l’Ufficio AI ha concluso, con effetto dal 1° luglio 2015, per una piena abilità lavorativa dell’assicurato in attività adeguate e questo per i motivi che seguono. Con rapporto finale 4 settembre 2015 il Servizio medico regionale dell’AI (SMR), sulla base della documentazione medica raccolta, ha ritenuto l’assicurato inabile al 100% nella sua originaria attività lucrativa con effetto dal 22 luglio 2014, ma abile al 100 % dal 1° luglio 2015 (previo brevi periodi di totale inabilità lavorativa dal 22 luglio 2014 al 5 agosto 2014 e dal 18 novembre al 30 giugno 2015) in attività adeguate. Da evitare, causa limitazione uditiva, sono attività con contatto con il pubblico e pure altre attività che richiedono l’uso dell’udito. Infine, il citato sanitario ha ritenuto esigibile un adattamento degli apparecchi acustici per un pieno recupero della capacità lavorativa nella sua abituale attività (dossier AI pag. 632). Pure con rapporto 5 gennaio 2016 il consulente in integrazione professionale ha confermato l’esigibilità dell’assicurato di farsi adattare gli apparecchi acustici per poter ripristinare una piena abilità lavorativa (doc. AI 191). La totale abilità lavorativa in attività adeguate trova fondamento nel rapporto 3 giugno 2015 del dr. __________, Capoclinica ORL all’Ospedale __________ di __________. Rilevando in particolare come a causa di una recidiva all’orecchio sinistro deve essere operato, ritiene tuttavia che l’assicurato può svolgere attività semplici, come magazziniere o in ufficio, per le quali non deve sentire suoni di allarmi “(“ Einfachere Arbeiten als Lagerist oder im Büro, wo Herr RI 1 nicht auf akustisce Warnsignale angewiesen ist, wären jedoch möglich ”) (doc. AI 111). In tal senso, nel rapporto 14 aprile 2016, allegato alla risposta di causa, il consulente ha individuato le seguenti attività esigibili: attività in ufficio, magazzino, operaio generico in attività quale assembleaggio o controllo macchinari, aiuto cucino ecc. (IV/1). Del resto l’assicurato ha prodotto documentazione medica idonea a smentire la succitata valutazione medico-teorica ed economica. A tal riguardo occorre ricordare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Infine, questo Tribunale ritiene che la refertazione medica agli atti contiene elementi chiari e sufficienti per valutare l'incapacità al guadagno dell'assicurata sino all'emanazione del querelato provvedimento, senza che si renda quindi necessario l'esperimento di ulteriori accertamenti richiesti dal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2.5.   Occorre ora procedere alla graduazione dell’invalidità mediante il metodo ordinario (cfr. consid. 2.3), il cui calcolo è stato esposto nella decisione impugnata ed è rimasto incontestato.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Nel caso di specie, questo TCA conferma il calcolo eseguito dall’amministrazione ed esposto nella decisione contestata, a cui va fatto riferimento. In particolare correttamente è stato preso in considerazione – visto che l’assicurato al momento dell’insorgenza del danno alla salute non svolgeva attività lucrativa – quale reddito da valido un importo di fr. 62'076.-- corrispondente al salario statistico previsto nel 2014 per la categoria professionale di venditore con conoscenze specializzate. Altrettanto rettamente il reddito da invalido è stato fissato in fr. 66'170.-- pari al salario statistico per attività semplici e ripetitive, come visto ritenute esigibili. Dal raffronto tra il reddito da valido e quello da invalido non risulta un grado d’invalidità. 2.6.   Da ultimo l’assicurato ha chiesto in via eventuale di essere posto al beneficio di una riformazione professionale ai sensi dell’art. 17 LAI. A prescindere dal fatto che l’assicurato non presenta un grado d’invalidità minimo del 20%, soglia minima per conferire il diritto a simili provvedimenti (fra le tante al riguardo cfr. DTF 130 V 489 consid. 4.2; DTF 124 V 110 consid. 2b), va fatto riferimento al già citato rapporto 14 aprile 2016 ove il consulente in integrazione professionale ha elencato le attività esigibili nonostante il problema uditivo (cfr. consid. 2.4). Va poi ricordato che con l’adattamento degli apparecchi acustici l’assicurato può riacquistare una piena capacità lavorativa anche nel sua originaria attività. In queste circostanze rettamente l’amministrazione ha ritenuto non adempiuti i requisiti per una riformazione professionale. 2.7.   Considerato che l’assicurato ha saputo esporre chiaramente le ragioni per cui non condivide la decisione contestata, così come nella STCA 18 aprile 2016 questo TCA non ritiene necessaria la designazione di un avvocato d’ufficio ai sensi dell’art. 28 Lptca (“Quando il Giudice ritiene che la persona non è capace di proporre e discutere con la necessaria chiarezza la propria causa, la diffida a munirsi entro breve termine di un patrocinatore, con la comminatoria della designazione di un patrocinatore d’ufficio ”).</w:t>
      </w:r>
    </w:p>
    <w:p>
      <w:r>
        <w:rPr>
          <w:b/>
        </w:rPr>
        <w:t>E. 2.8</w:t>
      </w:r>
    </w:p>
    <w:p>
      <w:r>
        <w:t>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complessivi fr. 500.-- sono poste a carico del ricorrente. L’assicurato ha tuttavia formulato istanza di assistenza giudiziaria tendente all’esenzione dalle tasse e spese processuali (cfr. art. 3 cpv. 1 della Legge sull’assistenza giudiziaria e sul patrocinio d’ufficio [LAG]).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Va da sé che nel caso in esame non occorre esaminare il presupposto della necessità dell’intervento dell’avvocato, l’insorgente non essendo patrocinato in causa. La presente vertenza doveva apparire, dopo un esame forzatamente sommario, destinata all'insuccesso già al momento della presentazione del ricorso, in quanto le prospettive di esito favorevole erano considerevolmente minori dei rischi di perdere la causa. In effetti, da una parte l’assicurato non ha presentato documentazione medica che smentisse quanto valutato dal SMR, dall’altra egli ha unicamente riproposto quanto già prodotto in sede di procedura amministrativa. In simili condizioni, non essendo realizzato nel caso in esame uno dei tre presupposti cumulativi, la domanda di esonero dalle spese di giustizia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