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32.2016.19 vom 12. Januar 2016</w:t>
      </w:r>
    </w:p>
    <w:p>
      <w:r>
        <w:t>TI Tribunale d'appello, 2016-01-12, IT</w:t>
      </w:r>
    </w:p>
    <w:p>
      <w:r>
        <w:rPr>
          <w:b/>
        </w:rPr>
        <w:t xml:space="preserve">Quelle: </w:t>
      </w:r>
      <w:r>
        <w:t>https://mcp.opencaselaw.ch/entscheid/ti_gerichte_32.2016.19</w:t>
      </w:r>
    </w:p>
    <w:p>
      <w:r>
        <w:t>FR: TI_GERICHTE 32.2016.19 du 12 janvier 2016</w:t>
      </w:r>
    </w:p>
    <w:p>
      <w:r>
        <w:t>IT: TI_GERICHTE 32.2016.19 del 12 gennaio 2016</w:t>
      </w:r>
    </w:p>
    <w:p>
      <w:pPr>
        <w:pStyle w:val="Heading2"/>
      </w:pPr>
      <w:r>
        <w:t>Regeste</w:t>
      </w:r>
    </w:p>
    <w:p>
      <w:r>
        <w:t>Decisione nulla in quanto l'Ufficio AI del Ticino che era non competente ad emetterla. Competente è l'Ufficio AI del Canton Friboro, cantone in cui l'assicurato era domiciliato al momento della domanda di prestazioni. Trasmissione atti a quest'ultimo per competenza decisionale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LAI competente è l’Ufficio AI del Canton __________ al quale gli atti vanno pertanto trasmessi; - secondo l’art. 69 cpv. 1bis LAI, in vigore dal 1. luglio 2006, la procedura di ricorso in caso di controversie relative all’asse-gnazione o al rifiuto di prestazioni AI dinanzi al tribunale cantonale delle assicurazioni è soggetta a spese. L’entità delle spese è determinata fra 200.-- e 1’000.-- franchi in funzione delle spese di procedura e senza riguardo al valore litigioso; - nella presente fattispecie le spese per fr. 500.-- sono poste a carico dell’Ufficio AI del Canton Ticino.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