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32.2016.137 vom 12. Oktober 2016</w:t>
      </w:r>
    </w:p>
    <w:p>
      <w:r>
        <w:t>TI Tribunale d'appello, 2016-10-12, IT</w:t>
      </w:r>
    </w:p>
    <w:p>
      <w:r>
        <w:rPr>
          <w:b/>
        </w:rPr>
        <w:t xml:space="preserve">Quelle: </w:t>
      </w:r>
      <w:r>
        <w:t>https://mcp.opencaselaw.ch/entscheid/ti_gerichte_32.2016.137</w:t>
      </w:r>
    </w:p>
    <w:p>
      <w:r>
        <w:t>FR: TI_GERICHTE 32.2016.137 du 12 octobre 2016</w:t>
      </w:r>
    </w:p>
    <w:p>
      <w:r>
        <w:t>IT: TI_GERICHTE 32.2016.137 del 12 ottobre 2016</w:t>
      </w:r>
    </w:p>
    <w:p>
      <w:pPr>
        <w:pStyle w:val="Heading2"/>
      </w:pPr>
      <w:r>
        <w:t>Regeste</w:t>
      </w:r>
    </w:p>
    <w:p>
      <w:r>
        <w:t>Rendita limitata nel tempo.La perizia psichiatrica fatta esperire da UAI è dettagliata,completa e stabilisce la stessa diagnosi del curante,ma una diversa capacità lavorativa.Esigibilità che l'ass. si sottoponga a una cura x migliorare la capacità lavorativa/guadagno.No a provvedimenti professionali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la problematica psichiatrica è stata chiarita in modo soddisfacente dalla perita che essa ha appositamente nominato. Vanno quindi ritenute determinanti le conclusioni a cui è giunta la specialista dr. med. __________ nella perizia psichiatrica del 18 agosto 2015 che integra i pareri dei colleghi specialisti. A questi referti va riconosciuta forza probatoria piena conformemente alla giurisprudenza esposta (cfr. consid. 2.6). Questa esperta ha infatti vagliato la documentazione medica messale a disposizione, ha attentamente valutato di persona il ricorrente in tre occasioni sull’arco di quattro mesi (da marzo a luglio 2015), ha eseguito degli esami personali e obiettivi, ha completato la propria valutazione sulla scorta di una serie di test effettuati sull’interessato da altri colleghi periti, ma ha anche avuto modo di parlare con i genitori dell’assicurato. Non va poi dimenticato che anche il medico SMR, intervenuto in seguito, ha più volte confermato le conclusioni peritali. Quanto al certificato del 12 novembre 2016 (doc. B) rilasciato dal dr. med. __________, il TCA evidenzia come lo stesso non infici la valutazione peritale. Infatti, va rilevato che anche il medico curante è concorde che l’assicurato soffre di una sindrome schizotipica (ICD-10; F21). A suo dire, però, il grado di capacità lavorativa sarebbe nullo in qualsiasi attività, mentre per il medico interpellato dall’Ufficio AI l’interessato sarebbe in grado di svolgere delle attività adeguate in ragione del 70%, nel senso di riduzione del rendimento. In sostanza, quindi, le conseguenze dei disturbi psichici presenti indicate dai medici intervenuti si equivalgono. Ciò che differisce sono le diverse valutazioni sulla capacità lavorativa del ricorrente stante la medesima patologia. Non va al riguardo dimenticato che il Tribunale federale ha confermato che in ragione della diversità dell'incarico assunto tra mandato di cura e mandato peritale (STF 9C_114/2007 del 20 luglio 2007 consid. 3.2.3; STF I 701/05 del 5 febbraio 2007 consid. 2), ossia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9C_965/2008 del 23 dicembre 2009 consid. 3.3; STF 8C_828/2007 del 23 aprile 2008; DTF 125 V 353 consid. 3a)cc); Pratique VSI 2001 pag. 109 consid. 3a)cc); Meyer , Budesgesetz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 STF 9C_757/2016 del 10 febbraio 2017 consid. 4.2; STF 9C_717/ 2014 del 17 dicembre 2015 consid. 5.2; STF 9C_9/2010 del 29 settembre 2010 consid. 3.4; STCA 36.2014.25 del 18 agosto 2014; STCA 36.2013.52 del 18 dicembre 2013). Il fatto che il medico curante segua l’assicurato da più tempo non è un criterio ritenuto dalla giurisprudenza per apprezzare il valore probatorio di un rapporto valetudinario ( DTF 125 V 351 consid. 3b/aa pag. 352 con riferimenti). Al contrario, la prassi prevede che, di principio, deve essere considerato con la necessaria prudenza l'avviso dei medici curanti a causa dei particolari legami che essi hanno con il paziente ( DTF 125 V 351 consid. 3b/cc pag. 353), per cui, secondo esperienza comune, il medico curante tende generalmente, in caso di dubbio, a pronunciarsi in favore del proprio paziente in ragione del rapporto di fiducia che lo unisce a quest'ultimo (STF 9C_757/2016 del 10 febbraio 2017 consid. 4.2).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Non vi è pertanto alcun motivo per ritenere che l’Ufficio AI abbia erroneamente fondando il proprio giudizio sugli esiti della perizia del Centro peritale per le assicurazioni sociali del 18 agosto 2015 e sui pareri del Servizio Medico Regionale. Di conseguenza, nell'evenienza concreta, rispecchiando la perizia del CPAS tutti i criteri di affidabilità e completezza richiesti dalla giurisprudenza in ambito di valore probatorio di rapporti medici ed in particolare di una valutazione psichiatrica, questo Tribunale non può quindi che confermare le conclusioni della specialista consultata dall’Ufficio assicurazione invalidità. In queste circostanze, poiché l'istruttoria ordinata dall'Ufficio AI si è rivelata esente da critiche, non vi è la necessità di procedere, come richiesto dal ricorrente, a un nuovo accertamento medico né sotto forma di perizia giudiziaria ordinata da questo Tribunale né sotto forma di rinvio degli atti all’amministrazione affinché sia essa stessa a procedervi (STF 9C_757/2016 del 10 febbraio 2017 consid. 4.2). Lo scrivente Tribunale fa dunque proprie le conclusioni formulate dall'Ufficio AI nella determinazione dell'incapacità lavorativa del ricorrente, ritenendolo quindi inabile al lavoro all’80% dal 25 settembre 2013 in qualsiasi attività rispettivamente dal 12 marzo 2015 abile al 50% come ingegnere elettrotecnico e capace al 70% in attività adeguate dove possa svolgere compiti semplici, in modo autonomo, senza particolari responsabilità. 2.8.   Stante quanto precede, poiché l’aspetto economico non è stato contestato come tale dall’assicurato (che ha soltanto chiesto di riesaminare la sua capacità di lavoro e non di guadagno ), ciò porta il TCA a non verificare oltre il calcolo effettuato dall’Ufficio AI nella decisione impugnata e dunque a ritenere un grado di invalidità del 32% (doc. 122). Questo grado è stato quindi stabilito tenendo presente un’abilità lavorativa residua del 70% in altre attività lucrative adeguate ed essendo inferiore al grado minimo pensionabile in virtù dell’art. 28 cpv. 2 LAI non dà diritto a una rendita di invalidità. Ne discende che è a giusta ragione che il ricorrente non ha (più) diritto al riconoscimento di una rendita di invalidità. 2.9. A proposito dell’esigibilità evidenziata dalla dr.ssa med. __________ e dal medico SMR __________ che il ricorrente si sottoponga ad una cura farmacologica per migliorare la sua capacità di lavoro e di guadagno, il TCA osserva che i medici dell’Ufficio AI non sono stati gli unici a sottolineare questa necessità che dovrebbe portare l’assicurato ad un miglioramento delle sue condizioni di salute e, magari, della capacità lavorativa. A questo proposito va infatti evidenziato che anche lo psichiatra dottor __________, che il 4 febbraio 2014 ha esaminato il ricorrente su mandato dell’assicuratore malattia che a quel tempo è stato chiamato a versare indennità giornaliere per malattia, ha rilevato la necessità di somministrare una terapia farmacologica specifica all’assicurato. Di uguale avviso è stato pure il dr. med. __________, FMH specialista in psichiatria e psicoterapia, che è intervenuto sempre per conto dell’assicuratore malattia e che il 9 settembre 2014, dopo avere preso atto anche del parere dello psichiatra curante __________ del 13 maggio 2014, ha concluso che “ Alla luce di quanto riportato (decorso clinico e diagnosi), e degli evidenti i tratti deliranti dell’assicurato, si ritiene ancor più giustificato e proponibile un intervento farmacologico e/o un eventuale ricovero stazionario oppure diurno. Infatti, in questi casi, la sola psicoterapia appare insufficiente. ” (doc. 33 dell’incarto Cassa malati). A seguito quindi delle opinioni del medico SMR e della perita del CPAS i quali, “ Alfine di migliorare la capacità lavorativa ed lo stato clinico generale ”, hanno ritenuto “ esigibile un trattamento medicamentoso adeguato (come già accaduto in passato) così come la continuazione regolare di un accompagnamento psicoterapeutico di sostegno e di motivazione, poiché ciò porterebbe ad un miglioramento dello stato clinico, con recupero del 30% in ogni tipo di attività lucrativa ”, l’amministrazione ha ammonito in tal senso l’assicurato . Nella decisione impugnata l’Ufficio AI ha inserito un’ingiunzione nei confronti del l’assicurato di sottoporsi a determinate cure, di sua competenza, ricordandogli, con riferimento all’art. 21 cpv. 4 LPGA, che nel caso di una nuova domanda l’amministrazione avrebbe verificato se ciò sarebbe avvenuto e avrebbe emanato una nuova decisione in base ai principi indicati da questa norma. Ai sensi dell’art. 21 cpv. 4 LPGA (si veda pure l’art. 7 cpv. 1 LAI),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 integrazione professionale ragionevolmente esigibile e che promette un notevole miglioramento della capacità di lavoro o una nuova possibilità di guadagno. Non si possono esigere cure e provvedimenti d’integrazione che rappresentano un pericolo per la vita o per la salute. Il senso e lo scopo della procedura di messa in mora prescritta dall’art. 21 cpv. 4 LPGA sono di rendere attento l’assicurato circa le possibili conseguenze negative di un comportamento renitente a collaborare, affinché si trovi nella situazione di prendere una decisione in piena cognizione di causa e, all’occorrenza, di modificare il proprio comportamento. Una tale procedura deve essere applicata anche nel caso in cui l’assicurato abbia manifestato, in modo chiaro e incontestabile, che non intendeva sottoporsi a un trattamento oppure a un provvedimento di integrazione (STF I 552/06 del 13 giugno 2007, consid. 4.1 e i riferimenti ivi menzionati). Nella DTF 134 V 189 il Tribunale federale ha stabilito che l'assicurazione infortuni può ridurre le proprie prestazioni se l'assicurato si rifiuta di sottoporsi a un trattamento medico ragionevolmente esigibile. Tuttavia, essa deve precedentemente avere messo in mora per iscritto l'assicurato e averlo reso attento sulle conseguenze del suo rifiuto (cfr. consid. 2). Ricordato quindi come, secondo il summenzionato principio generale delle assicurazioni sociali, l’assicurato è tenuto a fare tutto quanto è possibile per ridurre il danno e dunque assumere la farmacologia prescrittagli (art. 21 cpv. 4 LPGA; cfr. STF 8C_128/2007 del 14 gennaio 2008, consid. 3.1 e riferimenti, concernente una fattispecie nella quale la nostra Massima Istanza ha ritenuto esigibile l’intervento di una protesi all’anca; cfr. anche STF 9C_914/2010 del 2 dicembre 2010), questo Tribunale non può che confermare l’ammonimento deciso dall’Ufficio AI. 2.10.   Infine, la decisione del 12 ottobre 2016 nega al ricorrente il diritto alla messa in atto di provvedimenti d’ordine professionale non ritenendoli opportuni. In concreto, pur essendo il grado d'invalidità del ricorrente (32%) superiore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la decisione con cui l'Ufficio AI ha rifiutato la concessione di provvedimenti di integrazione professionale, ma si è messo a disposizione per un aiuto al collocamento, merita conferma. Con sentenza 9C_734/2010 del 18 maggio 2011 il TF, in un caso in cui un'assicurata invalida al 40% (percentuale calcolata secondo il metodo misto: consid. A in fine) aveva chiesto di essere messa a beneficio di provvedimenti integrativi di natura professionale, ha affermato che: " (…)</w:t>
      </w:r>
    </w:p>
    <w:p>
      <w:r>
        <w:rPr>
          <w:b/>
        </w:rPr>
        <w:t>E. 6</w:t>
      </w:r>
    </w:p>
    <w:p>
      <w:r>
        <w:t>(…)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32.2016.59 del 30 marzo 2017; STCA 32.2012.39 del 24 ottobre 2012; STCA 32.2011.143 del 21 novembre 2011). La stessa perita psichiatra, nelle sue conclusioni del 18 agosto 2015 (pag. 17), ha espressamente indicato che non riteneva necessari dei provvedimenti di integrazione professionale, giacché l’assicurato lavorava come indipendente e aveva un posto di lavoro. Era per contro utile, secondo la dr.ssa __________, la continuazione di un trattamento psichiatrico e l’avvio di uno psicofarmacologico. Rimane comunque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“La promozione dell'autonomia del disabile: esempi scelti dalle assicurazioni sociali”, in RDAT I 2003 pag. 595). Spetta dunque al ricorrente, se del caso, attivarsi in questo senso e contattare l’Ufficio AI - e per esso un consulente in integrazione professionale (STCA 32.2016.59 del 30 marzo 2017; STCA 32.2012.39 del 24 ottobre 2012; STCA 32.2012.69 del 20 agosto 2012; STCA 32.2011.143 e STCA 32.2011.141 entrambe del 21 novembre 2011). 2.11. Stante quanto precede, la pretesa dell'insorgente di annullare la decisione impugnata e di (fare) approfondire l’aspetto medico non può essere accolta. Inoltre, nella misura in cui l'Ufficio AI ha rifiutato il riconoscimento (anche) di provvedimenti d'integrazione, la decisione impugnata merita conferma (STCA 32.2016.59 del 30 marzo 2017; STCA 32.2012.39 del 24 ottobre 2012; STCA 32.2012.69 del 20 agosto 2012; STCA 32.2011.143 e 32.2011.141 del 21 novembre 2011) e il ricorso va respinto anche su questo punto.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