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32.2016.118 vom 14. September 2016</w:t>
      </w:r>
    </w:p>
    <w:p>
      <w:r>
        <w:t>TI Tribunale d'appello, 2016-09-14, IT</w:t>
      </w:r>
    </w:p>
    <w:p>
      <w:r>
        <w:rPr>
          <w:b/>
        </w:rPr>
        <w:t xml:space="preserve">Quelle: </w:t>
      </w:r>
      <w:r>
        <w:t>https://mcp.opencaselaw.ch/entscheid/ti_gerichte_32.2016.118</w:t>
      </w:r>
    </w:p>
    <w:p>
      <w:r>
        <w:t>FR: TI_GERICHTE 32.2016.118 du 14 septembre 2016</w:t>
      </w:r>
    </w:p>
    <w:p>
      <w:r>
        <w:t>IT: TI_GERICHTE 32.2016.118 del 14 settembre 2016</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2.2.Secondo lart. 87 cpv. 2 OAIse è fatta domanda di revisione, nella domanda si deve dimostrare che il grado d'invalidità o di grande invalidità o il bisogno di assistenza o di aiuto dovuto all'invalidità è cambiato in misura rilevante per il diritto alle prestazioni.</w:t>
      </w:r>
    </w:p>
    <w:p>
      <w:r>
        <w:t>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w:t>
      </w:r>
    </w:p>
    <w:p>
      <w:r>
        <w:t>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w:t>
      </w:r>
    </w:p>
    <w:p>
      <w:r>
        <w:t>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 84-86; Valterio, Droit et pratique de lassurance invalidité, Les prestations, Lausanne 1985, pag. 270).</w:t>
      </w:r>
    </w:p>
    <w:p>
      <w:r>
        <w:t>Nellasentenza pubblicata in DTF 130 V 64, il TFA ha precisato che se lassicurato non ha reso verosimile un rilevante cambiamento, il principio inquisitorio, secondo cui i fatti rilevanti per il giudizio devono essere accertati d'ufficio dal giudice, non è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w:t>
      </w:r>
    </w:p>
    <w:p>
      <w:r>
        <w:t>Infine,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consid.1b; DTF 116 V 265 consid. 2a; RCC 1991 pag. 269 consid. 1a).</w:t>
      </w:r>
    </w:p>
    <w:p>
      <w:r>
        <w:t>La giurisprudenza sopra menzionata va applicata anche dopo lentrata in vigore della LPGA il 1° gennaio 2003 e il nuovo tenore dellart. 87 OAI valido dal 1° marzo 2004 (STFA dell8 marzo 2006 nella causa J. [I 734/05]);</w:t>
      </w:r>
    </w:p>
    <w:p>
      <w:r>
        <w:t>Il TF nella sentenza 8C_716/2011 del 5 gennaio 2012 haprecisato:</w:t>
      </w:r>
    </w:p>
    <w:p>
      <w:r>
        <w:t>Secondo la cifra 5004 della Circolare sullinvalidità e la grande invalidità nellassicurazione per linvalidità (CIGI), valida dal 1° gennaio 2015, stato al 1° marzo 2016 (disponibile unicamente nella versione tedesca e francese), edita dall'UFAS e consultabile sull' http://www.bsv.admin.ch/vollzug/documents/</w:t>
      </w:r>
    </w:p>
    <w:p>
      <w:r>
        <w:t>view/3950/lang:ita/category:34), i principi di revisione si applicano alle rendite correnti dinvalidità; alle rendite correnti di vecchiaia versate per invalidità del / della coniuge, oppure se una rendita è stata respinta per insufficiente grado dinvalidità. La persona assicurata deve, nella sua nuova domanda di rendita, rendere plausibili i motivi della revisione (art. 87 cpv. 4 OAI; cfr. N. 2026 e N. 5013; RCC 1984 p. 355 e 364, 1983 p. 491, 1981 p. 123).</w:t>
      </w:r>
    </w:p>
    <w:p>
      <w:r>
        <w:t>La cifra 5005 CIGI prevede che esiste un motivo di revisione, ossia una modifica della situazione determinante per il diritto alle prestazioni, in particolare nei seguenti casi: miglioramento o peggioramento (p. es. anche in caso di una cronicizzazione; RCC 1989 p. 282) dello stato di salute; la ripresa o la cessazione dellattività lucrativa; laumento o la diminuzione del reddito dinvalido o di persona non invalida; la modifica della capacità di svolgere le mansioni consuete (ad. es. aumento della capacità lavorativa di una persona attiva nella propria economia domestica grazie allimpiego di mezzi ausiliari).</w:t>
      </w:r>
    </w:p>
    <w:p>
      <w:r>
        <w:t>Ciò non toglie che, ritenuto come il presente giudizio non pregiudica eventuali suoi diritti nei confronti dellAI insorti in epoca successiva alla data decisiva del provvedimento in lite, il quale delimita il potere cognitivo del giudice (cfr. DTF 130 V 140 e 129 V 4), la ricorrente ha se del caso la facoltà di presentare unulteriore nuova domanda di prestazioni, adducendo una rilevante modifica della situazione valetudinaria ed allegando la pertinente documentazione medica relativa ad eventuali nuovi o maggiori disturbi che potrebbero influire sul grado dinabilità.</w:t>
      </w:r>
    </w:p>
    <w:p>
      <w:r>
        <w:t>Secondo lart. 28 cpv. 2 Lptca la disciplina della difesa dufficio gratuito patrocinio è retta dalla Legge sul patrocinio dufficio e sullassistenza giudiziaria.</w:t>
      </w:r>
    </w:p>
    <w:p>
      <w:r>
        <w:t>L'art. 2 della Legge sullassistenza giudiziaria e sul patrocinio dufficio [LAG], nel tenore in vigore dal 1° gennaio 2011,  prevede: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Nella presente fattispecie la situazione valetudinaria dell'interessata era pacifica (non avendo subìto delle modifiche rispetto al passato, in grado di giustificare unentrata in materia, così come pure espressamente indicato dal medico del SMR). Alla luce della giurisprudenza pubblicata sia nella Raccolta ufficiale che nel sito web della Confederazione, rispettivamente in quello del Cantone Ticino (riportata in sentenza), doveva apparire chiaro al patrocinatore dell'assicurata che il rischio di perdere il processo era palesemente maggiore rispetto alle prospettive di un successo, ragione per la quale il requisito della probabilità di esito favorevole va giudicato inadempiuto. In simili condizioni, non essendo realizzato nel caso in esame uno dei tre presupposti cumulativi, la domanda di assistenza giudiziaria deve quindi essere respinta, a prescindere dal fatto che la richiesta di questa Corte del 14 ottobre 2016 volta all'ottenimento del certificato municipale per lammissione allassistenza giudiziaria debitamente compilato e vidimato (doc. IV), sia rimasta - nonostante la concessione di una proroga del termine sino al 12 dicembre 2016 (doc. VIII), così come richiesto dal rappresentante dell'assicurata (doc. VII) - inevasa a tutt'oggi.</w:t>
      </w:r>
    </w:p>
    <w:p>
      <w:r>
        <w:t>Le spese sono, quindi, a carico dellassicurata.</w:t>
      </w:r>
    </w:p>
    <w:p>
      <w:r>
        <w:t>Il gratuito patrocinio, sia in ambito di procedura ricorsuale che amministrativa, può essere riconosciuto solo ad avvocato patentato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181).Non essendo la ricorrente patrocinata da un avvocato, il gratuito patrocinio,in casu,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