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32.2015.83 vom 26. März 2015</w:t>
      </w:r>
    </w:p>
    <w:p>
      <w:r>
        <w:t>TI Tribunale d'appello, 2015-03-26, IT</w:t>
      </w:r>
    </w:p>
    <w:p>
      <w:r>
        <w:rPr>
          <w:b/>
        </w:rPr>
        <w:t xml:space="preserve">Quelle: </w:t>
      </w:r>
      <w:r>
        <w:t>https://mcp.opencaselaw.ch/entscheid/ti_gerichte_32.2015.83</w:t>
      </w:r>
    </w:p>
    <w:p>
      <w:r>
        <w:t>FR: TI_GERICHTE 32.2015.83 du 26 mars 2015</w:t>
      </w:r>
    </w:p>
    <w:p>
      <w:r>
        <w:t>IT: TI_GERICHTE 32.2015.83 del 26 marzo 2015</w:t>
      </w:r>
    </w:p>
    <w:p>
      <w:pPr>
        <w:pStyle w:val="Heading2"/>
      </w:pPr>
      <w:r>
        <w:t>Erwägungen</w:t>
      </w:r>
    </w:p>
    <w:p>
      <w:r>
        <w:rPr>
          <w:b/>
        </w:rPr>
        <w:t>E. 5</w:t>
      </w:r>
    </w:p>
    <w:p>
      <w:r>
        <w:t>settembre 2006). Per quel che concerne il 2012, secondo la recente sentenza 9C_632/2015 del 4 aprile 2016 destinata a pubblicazione, in particolare consid. 2.5.7, fa stato la TA1 2012 skill level (NOGA08, RSS 2012 pag. 35; salario mensile lordo [valore centrale] secondo il ramo economico, il livello di competenze e il sesso).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Nel caso di specie, conformemente alla citata giurisprudenza, l’Ufficio AI ha utilizzato i dati salariali forniti dalla tabella TA1 (stato 2010) elaborata dall'Ufficio federale di statistica e relativa ad una professione che presuppone qualifiche inferiori (categoria 4) nel settore privato svizzero (a proposito della rilevanza delle condizioni salariali nel settore privato, cfr. RAMI 2001 U 439, pagg. 347ss. e SVR 2002 UV 15, pagg. 47ss.), adeguando in seguito il dato statistico al 2013, tenendo conto di una riduzione del 5% per attività leggere, ha fissato un reddito di fr. 62'875.--, così come si evince dal rapporto 12 gennaio 2015 del consulente in integrazione professionale (doc. AI 53). Contestata è la riduzione del 5% per attività leggere, posto che la riduzione percentuale va applicata utilizzando esclusivamente dei multipli di 5 (9C_179/2013 del 26 agosto 2013). In merito ai fattori di riduzione, l’insorgente sostiene: " (…) Pur potendo ipotizzare che si tratti di un'attività idonea e compatibile con lo stato di salute certificato dalla perizia medica, non deve essere trascurato il fatto che l'assicurato, attualmente trentanovenne, possiede soltanto una formazione professionale in qualità di muratore, ossia in un campo di attività del tutto diverso da quello scelto, che non ha più praticato sin dal 2007 quando era stato assunto dal __________. Per poter validamente sperare in un concreto ed effettivo ricupero della sua capacità al guadagno è pertanto indispensabile un riorientamento professionale con l'ottenimento di un diploma. Come insegnano i criteri richiamati dalla giurisprudenza e citati nel rapporto finale SMR del 12.1.2015, se ed in quale misura i dati statistici sui salari debbano subire una riduzione dipende da una valutazione dell'insieme delle circostanze del singolo caso ossia dalle limitazioni addebitabili al danno alla salute, dagli anni di servizio, dall'età, dalla nazionalità e tipo del permesso di dimora e dal grado di occupazione). Di questi fattori per la riduzione per l'assicurato entrano certamente in considerazione le limitazioni dovute al danno alla salute, l'età e gli anni di servizio: per quanto riguarda età e anni di servizio non va trascurato il fatto che per un assicurato di 39 anni le possibilità di ottenere un'occupazione a tempo pieno anche in un'attività leggera sull'attuale mercato del lavoro sono molto ridotte, soprattutto se egli non dispone di un'adeguata formazione professionale compatibile con il suo stato di salute. Se poi si considerano tutte le limitazioni derivanti dallo stato di salute conseguente alle varie affezioni di cui soffre l'assicurato, documentate dalla perizia sotto il profilo oggettivo, si deve concludere che esse non potranno che incidere sulla capacità di guadagno sia nella professione di podologo, sia in un'altra analoga: come attesta la perizia, infatti, l'assicurato, portatore di diversi danni alla salute che hanno assunto un carattere di cronicità, necessiterà in futuro sempre di terapie che provocheranno anche periodiche interruzioni dell'attività lavorativa e conseguente riduzione della sua capacità di guadagno. Per tutti questi motivi si ritiene che una riduzione del reddito ipotetico di almeno il 10 % corrisponda in modo equo ai criteri sanciti dalla giurisprudenza. (…)” (Doc. I, pag. 6-7) A tal riguardo, questo TCA non può che aderire a quanto rilevato in sede di risposta: " (…) Ora, una riduzione percentuale del salario statistico medio è stabilita dopo un esame delle circostanze specifiche del caso concreto (limitazione addebitabile al danno alla salute, età, anni di servizio, nazionalità e tipo di permesso di dimora, grado d'occupazione); detto esame globale è stato (giustamente) eseguito dall'amministrazione all'interno del rapporto sub. doc. 53 incarto Al. Va in primo luogo osservato che – dipendenza del danno alla salute – l'assicurato è stato giudicato in grado di esercitare un'attività adeguata nella misura del 100%, motivo per cui non si può applicare (al reddito da invalido) alcuna riduzione percentuale per la questione inerente il grado di occupazione. Anche la nazionalità e il tipo di permesso di soggiorno (in casu il Signor RI 1 è di nazionalità svizzera) non permettono di applicare alcuna (ulteriore) decurtazione sul reddito statistico da invalido, così come giustamente argomentato dall'amministrazione all'interno della decisione qui impugnata. Infine, l'età (40 anni al momento della decisione amministrativa) non solo non si ripercuote negativamente sul reddito ipotetico da invalido, ma addirittura incide favorevolmente su di esso (cfr. ISS 2010, tabella TA9; STCA del 19.9.2013, incarto nr. 32.2013.20; STCA del 9.3.2015, incarto nr. 32.2014.140). In particolare, occorre osservare che mediante la riduzione del 5% per la necessità di svolgere attività leggere (tenendo conto dell'esame della funzionalità fisica sub. doc. 51-9 incarto Al), l'amministrazione ha considerato ampiamente gli effetti legati al danno alla salute di cui soffre l'assicurato. (…)” (Doc. IV, pag. 3-4) Visto quanto sopra, non vi sono validi motivi per distanziarsi dalla valutazione operata dall’amministrazione. Comunque, anche volendo, per ipotesi di lavoro, ammettere una riduzione del 10%, così come sostenuto dall’assicurato, e di conseguenza determinare un grado d’invalidità superiore del 20%, non vi sarebbero i presupposti per riconoscere una riformazione professionale e questo per i motivi che seguono. 2.5.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Per stabilire tale diritto deve essere considerata tutta la durata probabile della vita professionale rimanente (art. 8 cpv. 1bis LAI). Fra i provvedimenti d'integrazione concessi in virtù della LAI sono previsti pure i provvedimenti di reinserimento per preparare all'integrazione professionale (art. 8 cpv. 3 lett. a LAI) ed i provvedimenti professionali (art. 8 cpv. 3 lett. b LAI), che comprendono l'orientamento professionale (art. 15 LAI), la prima formazione professionale (art. 16 LAI), la riformazione professionale (art. 17 LAI), il collocamento (art. 18 LAI) e l'aiuto in capitale (art. 18b LAI). Secondo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 circa il 20% (STF 8C_689/2015 del 15 gennaio 2016: “(…) von rund 20% voraussetzt, wobei es sich dabei lediglich um einen Richtwert handelt.”; DTF 130 V 489 consid. 4.2; DTF 124 V 110 consid. 2b; STFA I 164/05 del 22 dicembre 2006 consid. 7; SVR 2010 IV Nr. 24; AHV Praxis 1997 pag. 80 consid. 1b). La soglia minima di diminuzione della capacità di guadagno conferente diritto a provvedimenti di riformazione professionale è quindi del 20%.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Infine,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 4013 Se un assicurato è sufficientemente integrato o se può esserle procurato un posto di lavoro adeguato ed esigibile senza una formazione supplementare, una riformazione professionale non è necessaria.” Infine, con STF 9C_734/2010 del 18 maggio 2011 il TF, in un caso in cui un’assicurata invalida al 40% (percentuale calcolata secondo il metodo misto)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Ritornando alla fattispecie concreta, l’assicurato chiede di essere posto al beneficio di una riformazione professionale quale podologo, formazione che richiede un corso di tre anni presso la __________ di __________, con conseguimento del relativo diploma, il cui costo è costituito da una tassa semestrale di fr. 900.-- ma con contemporaneo versamento all’allievo di un’indennità mensile (fr. 500.-- per il primo anno, fr. 700.-- per il secondo anno e fr. 900.-- per il terzo anno). Rileva come i diplomati non hanno difficoltà a trovare un posto lavorativo, sia quale dipendente o indipendente, conseguendo nel caso di un’attività lavorativa in seno agli istituti sanitari e/o dei servizi domiciliari esterni del Cantone uno stipendio da ricondurre alle classi salariali 21-23, rispettivamente 22-24 se tecnico di cura. Pertanto egli conclude come la scelta professionale sia adeguata, idonea all’integrazione, corrispondente alla sue capacità e che gli permette non solo di mantenere ma addirittura di migliorare la sua capacità al guadagno. Dagli atti risulta che all’assicurato è stato negato il diritto a provvedimenti professionali non raggiungendo il grado d’invalidità minimo del 20% (cfr. annotazioni 13 marzo 2015 del consulente in integrazione professionale; doc. AI 62). A prescindere dal grado minimo d’invalidità, con la risposta di causa l’Ufficio AI ha trasmesso le annotazioni 19 maggio 2015 del consulente che ha dettagliatamente motivato il rifiuto di riconoscere una riformazione professionale: " Considerate le qualifiche e l’esperienza professionale in suo possesso, l’assicurato è da ritenersi reintegrabile nel mercato del lavoro senza necessariamente dover intraprendere una nuova formazione professionale. Secondo quanto indicato nel rapporto finale del nostro SMR, dal lato medico teorico potrebbe essere reintegrato nella sua attività abituale (responsabile di laboratorio e manutentore) nella misura del 33% (rendimento ridotto con presenza piena) o ricollocarsi in tutte le attività semplici e ripetitive nella misura completa. Non è quindi necessario che l’UAI metta in atto una riqualifica professionale come podologo. L’assicurato, qualora lo richiedesse, potrebbe beneficiare dell’aiuto al collocamento da parte del nostro Servizio. Facciamo notare che il sig. RI 1 è già regolarmente iscritto come cercatore d’impiego al 100% presso l’URC di __________.” (Doc. IV/1) Quindi, il consulente ha fra l’altro concluso che l’assicurato può ricollocarsi a pieno regime in attività adeguate semplici e ripetitive senza che vi sia la necessità di adottare prima una (specifica) riqualifica professionale. A ragione. Infatti questo Tribunale conferma che l’insorgente, senza dover intraprendere una specifica riqualifica professionale, potrebbe svolgere attività semplici e ripetitive dal profilo fisico leggero o medio-leggero (cfr. anche sentenza 32.2011.143 del 21 novembre 2011; cfr. per analogia sentenze 9C_673/2009 del 14 aprile 2010 consid. 6.2, 9C_753/2008 del 26 ottobre 2009 consid. 3.5 e U 463/00 del 28 ottobre 2003 consid. 3.3).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STCA 32.2013.75 del 28 gennaio 2014 e 32.2011.143 del 21 novembre 2011).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Ne segue che a giusta ragione l’Ufficio AI ha negato il diritto a provvedimenti professionali (riqualifica/riformazione professionale), ritenuto che l’interessato gode di un ampio ventaglio di professioni possibili che non richiedono particolari misure di reintegrazione professionale (cfr. anche le STCA 32.2014.17 del 27 luglio 2015, 32.2014.95 del 21 maggio 2015, 32.2013.75 del 28 gennaio 2014). Del resto, le ricerche di lavoro – a prescindere dall’obbligo dovuto per l’ottenimento delle indennità di disoccupazione – dimostrano che l’assicurato si ritiene abile ad eseguire, nonostante il danno alla salute – invero di modesto impatto – a svolgere diverse attività. Che poi non abbia sinora trovato occupazione alcuna, ciò è dovuto piuttosto a ragioni di mercato del lavoro. Infine, l’amministrazione ha indicato che rimane aperta per l’assicurato la possibilità di far capo ad un aiuto al collocamento (cfr. anche DTF 116 V 85 con riferimenti; SVR 2003 IV Nr. 11 pag. 34 consid. 4.4.; in merito cfr. anche D. Cattaneo, “La promozione dell’autonomia del disabile: esempi scelti dalle assicurazioni sociali”, in RDAT I-2003 pag. 595s). Spetta dunque all’assicurato, se del caso, attivarsi in questo senso e ricontattare l’amministrazione (cfr. STCA 32.2011.143 del 21 novembre 2011). 2.6.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