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32.2015.80 vom 2. April 2015</w:t>
      </w:r>
    </w:p>
    <w:p>
      <w:r>
        <w:t>TI Tribunale d'appello, 2015-04-02, IT</w:t>
      </w:r>
    </w:p>
    <w:p>
      <w:r>
        <w:rPr>
          <w:b/>
        </w:rPr>
        <w:t xml:space="preserve">Quelle: </w:t>
      </w:r>
      <w:r>
        <w:t>https://mcp.opencaselaw.ch/entscheid/ti_gerichte_32.2015.80</w:t>
      </w:r>
    </w:p>
    <w:p>
      <w:r>
        <w:t>FR: TI_GERICHTE 32.2015.80 du 2 avril 2015</w:t>
      </w:r>
    </w:p>
    <w:p>
      <w:r>
        <w:t>IT: TI_GERICHTE 32.2015.80 del 2 aprile 2015</w:t>
      </w:r>
    </w:p>
    <w:p>
      <w:pPr>
        <w:pStyle w:val="Heading2"/>
      </w:pPr>
      <w:r>
        <w:t>Regeste</w:t>
      </w:r>
    </w:p>
    <w:p>
      <w:r>
        <w:t>Richiesta di una rendita AI. Rinvio atti all'amministrazione per ulteriori accertamenti e segnatamente per allestire una perizia medica pluridisciplinare</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consid. 3.1, I 26/02; cfr., inoltre, STFA del 13 giugno 2003, consid. 4.2, I 475/01). 2.2.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2.3.   Questo Tribunale, chiamato a verificare se lo stato di salute del ricorrente è stato accuratamente vagliato dall’amministrazione, attentamente esaminata la documentazione medica presente all’inserto, nonché richiamata la giurisprudenza in materia di valore probatorio di rapporti medici, per i motivi che seguono, non può confermare l’operato dell’UAI, sia perché l’amministrazione si è limitata ad allestire una perizia reumatologica senza approfondire l’incidenza sulla capacità lavorativa di altre patologie di cui è affetto il ricorrente, sia perché il referto del dr. med. __________ non è più stato aggiornato malgrado le, successive, divergenti certificazioni dei dr. med. __________ e __________. Dagli atti emerge che l’insorgente è stato vittima di un infortunio con politrauma alla schiena nel 1981, quando era apprendista spazzacamino, in seguito al quale è tuttora a beneficio di una rendita della __________ del 10% (doc. __________ 29-1 e 55-1) e che ha inoltrato altre due domande di prestazioni dell’AI, il 24 settembre 1982, sfociata nel riconoscimento di una rendita fino al 31 gennaio 1984 ed il 22 luglio 1992 conclusasi con una decisione di rifiuto del 25 novembre 1993 poiché l’assicurato, ormai attivo, dal 1986, come imbianchino, continuava a svolgere la medesima attività con una riduzione della capacità di lavoro, e quindi di guadagno, tra il 30% ed il 35%. Dal 1998 l’interessato svolge l’attività di pittore indipendente (doc. AI 83-1 e doc. AI 97-1). Nelle more amministrative, dopo aver acquisito l’intera documentazione medica, l’UAI ha fatto allestire una perizia reumatologica ad opera del dr. med. __________, FMH reumatologia e medicina interna (doc. AI 58). Lo specialista, l’11 ottobre 2013, dopo aver visitato l’insorgente l’8 ottobre 2013, ha posto le diagnosi di sindrome lombospondilogena cronica a destra con possibile instabilità segmentale in alterazioni degenerative della colonna lombare (discopatie L1/L2, L2/L3 ed L5/S1 con protrusione discale mediana e foraminale a destra L5/S1, senza conflitti radicolari, con spondilartrosi bilaterali, alla RM lombare del 23.12.2009), disturbi statici del rachide (cifoscoliosi della dorsale con protrazione del capo), decondizionamento e sbilancio muscolare, periartropatia omeroscapolare con sintomatologia di attrito terminale a sinistra in artrosi acromeoclaveare bilaterale (diagnosi clinica), poliartrosi delle dita (diagnosi clinica), gonartrosi bilaterali e artrosi tibioastragalica sintomatica con instabilità articolare a destra ed esiti da trauma distorsivo della caviglia destra con rottura parziale del tendine di Achille nel 2001, rottura cronica del legamento fibulotalare. Lo specialista ha stabilito che in un lavoro adatto al suo stato di salute l’insorgente è abile al lavoro sull’arco di una giornata lavorativa normale di 8-9 ore, con un rendimento massimo del 100%, dall’1.1.2011. Per contro, nella sua attività di pittore è stato giudicato abile al lavoro al 100%, ma con una riduzione del rendimento del 40% (doc. AI 58-10). Questa valutazione è tuttavia stata in parte contraddetta, perlomeno implicitamente, dalle successive valutazioni dei dr. med. __________, specialista FMH chirurgia ortopedica e traumatologia presso l’__________, e dr. med. __________, FMH chirurgia ortopedica, i quali hanno attestato incapacità lavorative, nella precedente attività di pittore, del 50%. Il 30 ottobre 2013, ossia successivamente alla perizia del dr. med. __________, il dr. med. __________ ha visitato l’insorgente a causa di un trauma distorsivo avvenuto accidentalmente il giorno stesso alla caviglia destra, già indagata per la patologia artrosica. Lo specialista ha accertato che la “ caviglia appare modicamente tumefatta e dolente alla palpazione a livello del comparto laterale ” ed ha attestato un’inabilità lavorativa del 50% (ossia 4 ore al giorno) per la sola patologia alla caviglia (doc. AI 70-5). Il 26 novembre 2013 il medesimo specialista ha rilevato un ulteriore peggioramento della sintomatologia dolorosa a carico dell’articolazione tibio-tarsica ed ha nuovamente certificato un’incapacità lavorativa del 50% (doc. AI 70-5). A causa della limitazione della funzionalità e della dolorabilità il dr. med. __________ ha inoltre previsto un intervento di meniscectomia mediale selettiva il 2 gennaio 2014 (doc. AI 70-6), in seguito al quale, all’esame obiettivo, ha evidenziato “ importanti contratture a carico della muscolatura del gemello mediale e gemello laterale ”, ha consigliato di proseguire con la fisiochinesiterapia per recuperare l’elasticità dei muscoli flessori della gamba ed ha confermato l’incapacità lavorativa del 50% (doc. AI 70-7). Il 25 febbraio 2014 il medesimo specialista ha rilevato, “ per quanto concerne la problematica a carico della caviglia destra ”, un’” importante tumefazione della stessa ” ed ha attestato un’inabilità lavorativa del 100% (doc. AI 70-9), poi ridotta al 50% il 25 marzo 2014 (doc. AI 70-10). Alla stessa conclusione è giunto anche il dr. med. __________ in un referto del 19 febbraio 2014 per l’assicuratore contro gli infortuni (__________). Dopo aver visitato il 14 febbraio 2014 il ricorrente, l’ortopedico ha ritenuto giustificata un’incapacità lavorativa del 50% quale pittore indipendente, per le sole patologie agli arti inferiori, ritenendo giustificato considerare a medio termine l’indicazione a misure cruenti di artrodesi della tibio-tarsica o eventualmente di protesi (doc. assicuratore infortuni 11-3: “ in considerazione del quadro clinico riscontrato agli arti inferiori, in particolare alla caviglia destra, ritengo senz’altro giustificata la vigente inabilità lavorativa nella misura del 50% in qualità di pittore indipendente ”). Il dr. med. __________ ha poi confermato la sua valutazione l’11 luglio 2014, dopo che l’insorgente è rimasto vittima di un trauma contusivo alla spalla sinistra, con dolore e limite funzionale, il 25 aprile 2014 (doc. AI 85-2 e 87-1; doc. assicuratore infortuni 18-1). Malgrado ciò, il medico SMR, dr. med. __________, specialista FMH in medicina interna, e dunque non negli ambiti qui in esame (reumatologia ed ortopedia) il 16 maggio 2014 ha ritenuto che la documentazione medica sopra citata non impone “ una valutazione diversa dello stato di salute, già ampiamente oggettivato dal Dr. __________ ” ed ha rilevato che il dr. med. __________ ha stabilito un’inabilità lavorativa del 50% in termini di orario di lavoro, mentre il dr. med. __________ del 40% con riferimento alla diminuzione del rendimento (doc. AI 80-2). Il 6 novembre 2014 il dr. med. __________ ha nuovamente confermato l’incapacità lavorativa attestata dal dr. med. __________ (doc. AI 88-1). Il 16 dicembre 2014 il medico SMR oltre a ribadire la correttezza della valutazione del perito ha affermato che mentre la __________, per l’infortunio del 1981 ha attribuito una rendita dapprima del 20% in seguito del 10% per compensare la perdita di salario attribuibile alle conseguenze dell’infortunio, il dr. med. __________ ha precisato i limiti funzionali in modo tale che, in attività pienamente rispettosa di tali limiti, la capacità è da considerare totale, “ In una simile attività, ovviamente il rendimento non sarebbe ridotto del 10% ”. Il medico SMR ha inoltre ribadito che il dr. med. __________ attesta un’inabilità lavorativa del 50% precisando che intende 4 ore giornaliere con rendimento del 100%, mentre il dr. med. __________ ha identificato una diminuzione del rendimento del 40% sull’arco di tutta la giornata lavorativa (per quanto riguarda il lavoro di pittore, non il lavoro amministrativo, per il quale la capacità lavorativa è totale) che appare più realistico alla luce della natura del danno della salute dell’assicurato. Per il dr. med. __________, “ il pieno rendimento è difficilmente ipotizzabile, anche a tempo parziale ” (doc. AI 97-1). Questo Tribunale non può condividere le valutazioni del medico SMR, peraltro generalista. Infatti, in presenza di valutazioni, successive, diverse da parte di altri due specialisti, di cui uno intervenuto su richiesta di un altro assicuratore sociale e che hanno certificato un’incapacità lavorativa maggiore rispetto a quella del perito sulla base della sola patologia alla caviglia, l’UAI avrebbe perlomeno dovuto interpellare il dr. med. __________, sottoponendogli i referti e chiedendogli di aggiornare la sua, ormai datata, perizia. Ma vi è di più. Con il ricorso l’assicurato ha prodotto un referto del 2 aprile 2015 del __________ del __________ dell’Ospedale __________ di __________, Prof. dr. med. __________, che in seguito ad un esame del 1° aprile 2015, ha diagnosticato un carcinoma alla prostata (PI-RADS 4 a 5) in sede anteriore nella zona di transizione prevalentemente dal lato sinistro ma coinvolgendo pure il lato destro. Lo specialista ha aggiunto che vi è “ un forte sospetto per un’estensione extra-capsulare ad infiltrazione dello stroma anteriore ” (doc. D).  Un’agobiopsia del 23 aprile 2015 ha confermato la diagnosi (allegato al doc. D). Il 3 giugno 2015 il medico SMR, dr. med. __________, si è limitato a sostenere che “ il riscontro di una neoplasia limitata alla prostata ha un influsso sulla capacità lavorativa a partire dal momento dell’inizio del trattamento (operazione o radioterapia) con seguente IL della durata di 3 a 6 mesi a secondo dell’opzione terapeutica scelta e che fino all’inizio del trattamento l’esigibilità lavorativa rimane come da valutazione precedente” (doc. IV/1). Anche in questo caso, tuttavia, la valutazione non è stata sottoposta ad uno specialista in oncologia, né sono stati interpellati i medici dell’insorgente per approfondire l’incidenza che questa forma tumorale ha sulla capacità lavorativa dell’interessato. Infine il 20 luglio 2015 il ricorrente ha evidenziato di essere ormai in cura, dal lato psichiatrico, presso la dr.ssa med. __________, specialista FMH in psichiatria. Ora, già il 9 agosto 2012 il medico curante, dr. med. __________, FMH medicina interna, aveva chiesto un parere al dr. med. __________ relativamente alla circostanza che l’interessato, dall’età di 18 anni, presenta numerosi incubi notturni che sono verosimilmente dovuti ad un’ “ ansia di prestazione nella vita lavorativa-familiare ” in un paziente “ estremamente disturbato ” (doc. AI 49-15). L’insorgente è poi stato sottoposto ad un esame presso i dr. med. __________, Capo clinica e __________, assistente, del __________ presso il __________, i quali l’11 ottobre 2012 hanno rilevato che la sintomatologia non è di univoca interpretazione e che l’ipotesi più probabile è quella di una parasonnia del sonno NREM, ma non può essere escluso un disturbo comportamentale della fase REM, né la presenza di crisi epilettiche nel sonno (doc. AI 49-13). Dal referto emerge inoltre che in passato era stato seguito da uno psichiatra (doc. AI 49-12: “ […] viene riferito anche uno stato di tensione emotiva e muscolare per cui alla sera assume sporadicamente il Valium. Per tali motivi, è stato seguito da uno psichiatra ed ha assunto diversi farmaci […] “). Gli specialisti hanno comunque indicato che l’interessato è abile al lavoro relativamente a questa patologia (doc. AI 49-11), mentre nel referto del 29 gennaio 2013 il medico curante, dr. med. __________, ha indicato, tra le diagnosi con ripercussione sulla capacità lavorativa, la “ da anni parasonnia in fase di accertamento ” precisando che “ no so sei disturbi del sonno (vedi allegati) che tormentano il paziente da anni possono avere o meno un influenza sul suo rendimento lavorativo. Penso però che un certo grado di affaticabilità, riduzione della concentrazione ed ansia possono influire in modo negativo sulla sua giornata lavorativa ” (doc. AI 49-2). Il medico SMR, il 19 luglio 2013, ha ritenuto che questa patologia non avesse influsso sulla capacità lavorativa, senza tuttavia procedere con ulteriori esami (doc. AI 55-1). Anche in questo caso l’UAI avrebbe dovuto procedere ad un esame maggiormente approfondito della malattia e delle ragioni per le quali l’interessato è stato seguito da uno psichiatra. Tant’è che apparentemente, perlomeno dal mese di luglio 2015, l’insorgente è di nuovo in cura da una specialista. Certo, la (nuova) presa a carico è successiva rispetto all’emissione della decisione impugnata che di norma delimita dal punto di vista temporale il potere cognitivo del giudice delle assicurazioni sociali (DTF 132 V 215 consid. 3.1.1 pag. 220 con riferimenti) e nulla è dato a sapere circa la diagnosi posta dalla curante. Tuttavia, una patologia psichica si era già apparentemente manifestata in precedenza (doc. AI 49-12) e con sentenza I 109/01 del 4 ottobre 2001, l’allora TFA (dal 1° gennaio 2007: TF), circa l’insorgere di una patologia psichica, ha affermato: " (…) b) Nel caso in esame a ragione la Corte cantonale, fondandosi sull'avviso del dott. B.________, ha rinviato gli atti di causa all'amministrazione per nuovi accertamenti relativi allo stato psichico dell'assicurato. Il possibile stato depressivo reattivo diagnosticato dal medico, disturbo che peraltro aveva reso necessario un ricovero in ambiente psichiatrico presso la Clinica Y.________ nell'aprile 2000, erano circostanze che legittimavano il primo giudice a statuire in questo senso. L'argomento dell'UAI in sede di ricorso di diritto amministrativo, per cui un eventuale subingredire di una patologia dal profilo psichico sarebbe se del caso posteriore alla decisione in lite, non basta in effetti perché ci si scosti dall'opinione del Tribunale cantonale quando si ricordi che le turbe psichiche si manifestano di regola progressivamente. In altre parole, non si può escludere che detti disturbi siano insorti già prima dell’emanazione della decisione impugnata, segnatamente ove si osservi che in una dichiarazione dell'assistente sociale dell'Ospedale X.________ del 2 dicembre 1999 si attestava come W.________ avesse nel frattempo cominciato un sostegno psichiatrico presso la dott. ssa E.________. Ciò basta per concludere che la precedente giurisdizione a ragione ha ordinato il rinvio dell'inserto all'amministrazione per delucidare il tema delle affezioni d'ordine psichico e determinarsi nuovamente.” (sottolineatura del redattore) Va qui ancora rammentato che in una sentenza 9C_1061/2010 del 7 luglio 2011, al consid. 8.3 il TF ha affermato: " (…) 8.3 Al riguardo si rileva che malgrado una situazione di salute particolarmente complessa l'UAI ha fondato la propria decisione su atti medici insufficienti. Dalla documentazione risulta infatti che V.________ non soffre soltanto di una malattia autoimmune (pemfigo volgare) e di una depressione medio-grave (la quale, secondo la perizia psichiatrica fatta esperire dall'amministrazione causa un'incapacità lavorativa del 50%), bensì anche di numerose patologie di natura reumatologica (quali osteopenia, disturbi alla schiena consistenti in listesis L5-S1, con spostamento posteriore del fulcro ed una rettitudine esagerata del passaggio dorso/lombare, periatrite scapolomerale alle spalle, osteoartrosi primaria delle mani con noduli di Heberden e Bouchard, rizzartrosi bilaterale stadio III-IV, iniziale tunnel carpale bilaterale, sindrome fibromialgica), che sono però state valutate a livello amministrativo dal "solo" dottor P.________, medico del Servizio X.________ specializzato in medicina interna. A fronte di ciò, il dott. K.________, curante della ricorrente e specialista FMH in medicina interna e malattie reumatiche, ha tra l'altro evidenziato uno stato dopo morbo di Scheuermann come pure la presenza di avanzate alterazioni degenerative a livello C5-C6 e C6-C7 con spondilosi anteriore pure a livello C4-C5 che avrebbero (almeno parzialmente) spiegato i dolori cronici dorsali dell'assicurata ma per contro non sembrano essere stati presi (almeno in questa misura e chiarezza) in considerazione dal Servizio X.________. A ciò si aggiunge l'accertamento, nel luglio 2010, di una protrusione erniaria mediana su L5-S1 che, benché successivo alla data della decisione di riconsiderazione del 30 marzo 2010, contribuisce a fare dubitare ulteriormente della completezza e attendibilità della valutazione dell'UAI in merito all'aspetto ortopedico e reumatologico. Non potendosi in particolare escludere con la necessaria tranquillità un peggioramento di questo status nel periodo che ha preceduto l'emanazione della decisione del 30 marzo 2010, si impone il rinvio degli atti all'amministrazione perché proceda a un complemento istruttorio e renda un nuovo provvedimento. In questo senso, il ricorso è (parzialmente) accolto.” Inoltre,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 Tutto ben considerato questa Corte ritiene che le considerazioni esposte siano atte a creare per lo meno lievi dubbi circa la fondatezza della valutazione del medico SMR, dr. med. __________, sulla cui base l’amministrazione ha fondato la decisione impugnata e, successivamente, del medico SMR, dr. med. __________ (cfr. STCA 35.2015.60 dell’11 novembre 2015, consid. 2.8 in fine; DTF 139 V 225 consid. 5.2). Confrontato ad una questione di natura squisitamente medica, il TCA non è in grado di dirimere, con la necessaria tranquillità, la presente vertenza sulla base della sola documentazione agli atti, ragione per la quale si impone un approfondimento peritale che tenga conto degli aspetti reumatologico, ortopedico, oncologico, psichiatrico e neurologico (per la parasonnia). Nella già citata sentenza 9C_243/2010 del 28 giugno 2011 (cfr. consid. 2.2.) il Tribunale federale ha precisato in quali casi il Tribunale cantonale deve allestire direttamente una perizia giudiziaria e in quali casi può rinviare gli atti all'assicuratore per un complemento istruttorio (cfr. anche sentenza 32.2015.6 dell’8 ottobre 2015). Nella concreta evenienza, ritenuto come vi siano degli accertamenti peritali svolti dall’amministrazione che necessitano un complemento (“ Ergänzung von gutachtlichen Ausführungen ”) e ritenuto che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si giustifica il rinvio degli atti all’UAI ai sensi della giurisprudenza citata (cfr. anche sentenza 32.2015.6 dell’8 ottobre 2015). La decisione impugnata va quindi annullata e l'incarto retrocesso all'Ufficio AI, affinché metta in atto un approfondimento pluridisciplinare reumatologico, ortopedico, psichiatrico, oncologico e neurologico (per la parasonnia), e si esprima nuovamente sulle eventuali ripercussioni sulla capacità lavorativa dell’assicurato. I periti dovranno poi determinarsi sul grado complessivo di incapacità lavorativa. A proposito della valutazione globale delle patologie: cfr. STF 9C_330/2012 del 7 settembre 2012; STF 9C_913/2012 del 9 aprile 2013; SVR 2008 IV Nr. 15, STCA 32.2011.236 del 17 giugno 2013. Quindi in esito a tali complementi istruttori, l’amministrazione si pronuncerà nuovamente sul diritto alla rendita dell’assicurato. In queste condizioni risulta prematuro esaminare le ulteriori censure del ricorrente, segnatamente quelle concernenti le valutazioni del consulente IP e del servizio d’inchiesta per l’attività professionale indipendente in punto alla ripartizione dell’attività svolta (10% per mansioni di carattere conduttivo e 90% per mansioni a livello esecutivo) e quelle relative al reddito dell’assicurato per il 2013. In queste circostanze non è neppure necessario chiedere al ricorrente la trasmissione dei rapporti medici relativi agli ulteriori accertamenti che avrebbe avuto intenzione di effettuare successivamente all’inoltro del ricorso (cfr. doc. XII, scritto del 20 luglio 2015). Per quanto concerne invece il richiamo degli incarti AI, LAINF dalla __________ e LAINF dall’__________, va rilevato che essi sono stati prodotti dall’UAI con la risposta di causa.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2.4.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dell’UAI, che rifonderà le ripetibili al ricorrente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