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32.2015.66 vom 17. März 2016</w:t>
      </w:r>
    </w:p>
    <w:p>
      <w:r>
        <w:t>TI Tribunale d'appello, 2016-03-17, IT</w:t>
      </w:r>
    </w:p>
    <w:p>
      <w:r>
        <w:rPr>
          <w:b/>
        </w:rPr>
        <w:t xml:space="preserve">Quelle: </w:t>
      </w:r>
      <w:r>
        <w:t>https://mcp.opencaselaw.ch/entscheid/ti_gerichte_32.2015.66</w:t>
      </w:r>
    </w:p>
    <w:p>
      <w:r>
        <w:t>FR: TI_GERICHTE 32.2015.66 du 17 mars 2016</w:t>
      </w:r>
    </w:p>
    <w:p>
      <w:r>
        <w:t>IT: TI_GERICHTE 32.2015.66 del 17 marzo 2016</w:t>
      </w:r>
    </w:p>
    <w:p>
      <w:pPr>
        <w:pStyle w:val="Heading2"/>
      </w:pPr>
      <w:r>
        <w:t>Regeste</w:t>
      </w:r>
    </w:p>
    <w:p>
      <w:r>
        <w:t>Soppressione rendita in via di revisione: rinvio atti all'Ufficio AI affinché, effettuati in necessari accertamenti medici volti a stabilire l'evoluzione della capacità lavorativa nel tempo, ordinata una nuova inchiesta domiciliar e aggiornati i dati economici, si pronunci sulla revisione intrapresa</w:t>
      </w:r>
    </w:p>
    <w:p>
      <w:pPr>
        <w:pStyle w:val="Heading2"/>
      </w:pPr>
      <w:r>
        <w:t>Erwägungen</w:t>
      </w:r>
    </w:p>
    <w:p>
      <w:r>
        <w:rPr>
          <w:b/>
        </w:rPr>
        <w:t>E. 2</w:t>
      </w:r>
    </w:p>
    <w:p>
      <w:r>
        <w:t>con riferimenti, 109 V 262, 105 V 30; in argomento vedi anche Meyer/Reichmuth, Rechtsprechung des Bundesgerichts zum IVG, 2014, ad art. 30/31, pag.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2.4.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2.5.   Nel caso in cui invece l’interessato svolga (o comunque svolgerebbe in assenza dei fattori invalidanti) solo parzialmente un'attività lucrativa risulta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e STFA I 156/04 del 13 dicembre 2005, pubblicata in SVR 2006 IV Nr. 42 pag. 151 segg.). Questa giurisprudenza è stata ribadita nelle DTF 137 V 334, 133 V 504 e 133 V 477.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2.6.   La Corte europea dei diritti dell’uomo (seconda sezione), con sentenza 7186_09 del 2 febbraio 2016 nella causa Di Trizio contro Svizzera, non definitiva (cfr. STF 8C_633/2015 del 12 febbraio 2016, consid. 4.3), – chiamata a pronunciarsi in una fattispecie analoga alla presente in cui il TF aveva confermato la soppressione del diritto alla rendita nel caso di un’assicurata che in applicazione del metodo misto (dopo la nascita di due gemelli) non raggiungeva più un grado d’invalidità pensionabile (STF 9C_49/2008 del 28 luglio 2008) – , ha, in particolare, stabilito (per 4 voti contro 3) che vi è stata una violazione dell’art. 14 combinato con l’art. 8 della CEDU, che non va esaminata separatamente la violazione dell’art. 14 in combinazione con l’art. 6 CEDU e che non va esaminata separatamente la violazione dell’art. 8 CEDU preso isolatamente. La Corte europea – ricordato che non incombe a lei di annullare e/o abrogare delle disposizioni di diritto interno riconosciute contrarie alla CEDU e che le sue sentenze hanno un carattere declaratorio – ha precisato che la Svizzera può scegliere liberamente, nella misura in cui le soluzioni siano compatibili con le conclusioni di questo giudizio, in quale maniera conformarsi all’art. 46 CEDU precisando che, avuto riguardo all’insieme delle circostanze e al principio della sicurezza del diritto, la violazione della CEDU ravvisata nel caso presente non esige che si rimettano in discussione gli atti o le situazioni giuridiche analoghe stabilite precedentemente a questa sentenza ( “(…) La Cour estime utile de rappeler par ailleurs qu'il ne lui appartient pas d'annuler ou d'abroger elle-même les dispositions litigieuses du droit interne à la suite d'un constat de violation de la Convention. Les arrêts de la Cour ayant un caractère pour l'essentiel déclaratoire, la Suisse peut librement choisir les moyens de s'acquitter de son devoir juridique au regard de l'article 46 § 1 de la Convention, pour autant que ces moyens soient compatibles avec les conclusions du présent arrêt, comme indiqué ci-dessus (paragraphe 120 ci-dessus). Eu égard à l'ensemble des circonstances et au principe de la sécurité juridique, inhérent à la Convention, la Cour estime que le constat de violation opéré dans le cas d'espèce n'exige pas de remettre en cause les actes ou situations juridiques semblables antérieurs au prononcé du présent arrêt (Marckx, précité, § 58). (…)” (sentenza della Corte europea dei diritti dell’uomo 7186_09 del 2 febbraio 2016 nella causa Di Trizio contro Svizzera, paragrafo 122 pag. 35) ) . 2.7.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in assenza del danno alla salute, l'assicurato avrebbe esercitato un'attività lavorativa oppure no. Ad esempio se l'assicurato esercitava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Rechtsprechung des Bundesgerichts zum IVG, 2014, ad art. 5, pagg. 54-58 e 61-62 e Blanc, La procédure administrative en assurance-invalidité, Fribourg 1999, pag. 190 segg.). Questa valutazione deve ugualmente prendere in considerazione la volontà ipotetica dell’assicurata, che, in quanto fatto interno, deve essere in regola generale dedotta da indizi esterni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La procédure administrative en assurance-invalidité, 1999, pag. 190-191). 2.8.   Questo Tribunale rileva che – dopo averla considerata quale salariata al 100%: “(…) All’attribuzione della rendita, infatti, l’a.ta era salariata al 100%, mentre dal 2005 (ndr.: recte 2006; cfr. doc. AI 139/1) , anno di nascita del figlio, ha dichiarato che avrebbe lavorato al massimo nella misura del 60%. (…)” (doc. AI 169/1) e viste le risposte dell’assicurata dalle quali risulta che dalla nascita del figlio avrebbe svolto l’attività di impiegata d’ufficio nella misura del 60% e che diversamente avrebbe lavorato in una misura superiore a detto grado (cfr. doc. AI 141/1 e 142/1-2) – , conformemente alla succitata giurisprudenza (cfr. consid. 2.6), a ragione l’Ufficio AI ha considerato la ricorrente quale salariata al 60% e casalinga al 40%. In particolare – ribadite le risultanze delle succitate risposte fornite dalla stessa assicurata alle puntuali domande sottopostele dall’amministrazione (cfr. doc. AI 139/1, 140/1, 141/1 e 142/1-2) – , per il fatto che la ricorrente sostenga che “(…) non ha mai dichiarato che avrebbe lavorato al 60% dopo la nascita del figlio. (…)” e che “(…) in occasione della visita a domicilio non ha firmato nessun verbale che conferma questa dichiarazione. (…)” (I), non è possibile concludere diversamente. 2.9.   Questo Tribunale, per le ragioni di seguito esposte, non può per contro fare proprie le argomentazioni dell’amministrazione secondo le quali “(…) le osservazioni (ndr.: si riferisce all’opposizione 1. dicembre 2014 al progetto di decisione dell’11 novembre 2011; doc. AI 175/1-4 e 177/1-2) contestano altresì l’assenza di una nuova inchiesta per casalinghe, a seguito del peggioramento dello stato di salute. Da quel punto di vista le stesse vengono medicalmente respinte, in quanto la percentuale d’impedimenti in mansioni casalinghe era già stata valutata durante la visita del 26.06.2013, in un periodo in cui l’incapacità lavorativa era completa. Il medico SMR ha valutato ciò ed ha certificato che il 28.5% è da confermare. (…)” (doc. A/1) e che “(…) per quanto concerne il valore probante dell’inchiesta economica svolta nel giugno 2013, si rimanda alla presa di posizione del medico SMR (doc. 142 incarto AI) e a quanto indicato nella decisione impugnata, ossia che l’inchiesta è stata svolta quando l’assicurata era addirittura inabile al 100% (dal 21.05.2013 al 30.08.2013), per cui mantiene la propria validità anche per il seguito, in cui l’assicurata ha recuperato la capacità lavorativa al 50%. (…)” (IV). Nemmeno questa Corte può confermale la valutazione 14 luglio 2015 del dr. __________ – ripresa nelle osservazioni 20 luglio 2015 (X) – secondo la quale “(…) l’attuale documentazione medica non mostrà però per il periodo precedente (ndr.: si riferisce al periodo precedente alla decisione impugnata) una situazione differente rispetto a quella valutata. Faccio presente che l’inchiesta a domicilio è stata eseguita in piena conoscenza dei dati clinici. (…)” (X/1). Va qui evidenziato che al fine di stabilire le limitazioni funzionali da un punto di vista osteoarticolare l’amministrazione ha ordinato un accertamento presso il medico SMR dr. __________ (cfr. doc. AI 152/1 e 153/1-2; vedi anche consid. 1.4). Il dr. __________ il 5 novembre 2013 ha redatto il rapporto finale SMR con esame (doc. AI 154/1-8). Detto rapporto – su cui si è fondato quello dell’inchiesta domestica steso dall’assistente sociale il 14 novembre 2013 (doc. 155/1-6) – è stato annullato in base all’annotazione 3 marzo 2014 nella quale il dr. __________ ha concluso che “(…) tenuto conto degli errori sulle IL, il rapporto SMR del 05.11.2013 non è da ritenere valido. (…)” (doc. AI 163/1, vedi anche consid. 1.4). Inoltre, nel rapporto SMR del 5 novembre 2013, nello status il dr. __________ ha evidenziato: “(…) Valutazione clinica solo parziale in attesa di accertamenti da parte del Dr. med. __________ con eventuale descrizione dell’evoluzione clinica, altrimenti impossibile per mancanza di esami clinici utili a tale scopo. (…)” (doc. AI 154/5) concludendo che “(…) l’assicurata si rivolgerà nei prossimi giorni al reumatologo curante per rivalutazione clinica e certificazione della IL. Procedere con aggiornamento atti medici tra circa 30 giorni. (…)” (doc. AI 154/5). In questo senso non è dato a sapere come il dr. __________ (oltretutto non specialista in questo ambito) possa sostenere che “(…) l’inchiesta a domicilio è stata eseguita in piena conoscenza dei dati clinici. (…)” (X/1). Il dr. __________, FMH in malattie reumatiche fisiatria e riabilitazione, nel certificato del 22 novembre 2013 ha attestato che “(…) gli impedimenti fisici determinano un’incapacità lavorativa definitiva del 50%. (…)” (doc. AI 156/1) e nel rapporto del 13 dicembre 2013 ha concluso che “(…) le condizioni fisiche appaiono ora stabili con limitazioni funzionali importanti riguardanti la motricità sia degli arti superiori (mani incluse) che degli arti inferiori con un’incapacità lavorativa per il lavoro svolto di collaboratrice presso l’__________ che giudico del 50%, valutazione per intanto definitiva […] In considerazione della gravità della malattia e dei molteplici interventi chirurgici già subiti non posso che complimentarmi con la paziente se riesce ancora a lavorare nella misura stabilita (mezza giornata con rendimento normale). (…)” (doc. AI 157/1-2). Ricordato che a una valutazione SMR va riconosciuta piena forza probatoria se il medico SMR dispone delle conoscenze mediche che il caso concreto richiede (in questo senso vedi la STF 9C_826/2009 del 20 luglio 2010, consid. 4), questo Tribunale ritiene che l’Ufficio AI avrebbe dovuto perlomeno sottoporre le valutazioni del dr. __________ allo specialista dr __________ e non accontentarsi delle valutazioni espresse dal dr. __________ nelle annotazioni 14 gennaio 2015 (doc. AI 180/1) e dal dr. __________ nell’annotazione del 14 luglio 2015 (X/1). Del resto – nonostante il dr. __________ nella succitata annotazione del 14 gennaio 2015 ha osservato che “(…) per quanto riguarda la IL% come casalinga è stata valutata durante la visita del 26.06.2013 (rapporto del 14.11.2013), in un periodo in cui l'A. era giudicata IL 100%. NB: IL 100% dal 21.05.2013 al 30.08.2013 per operazione di protesi ginocchio dx 14.06.2013 e caviglia dx 17.07.2013, per cui la IL% stabilita dall’assistente sociale è da confermare. (…)” (doc. AI 180/1) – la stessa amministrazione ha ritenuto necessario ordinare una nuova inchiesta per casalinga (cfr. il “(…) mandato a servizio esterno (…)” del 18 marzo 2015 sub doc. AI 182/1 a cui non è stato dato seguito). In concreto – ritenuto che i medici SMR dr. __________ e dr. __________ non sono specialisti reumatologi e/o ortopedici e ricordato che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 questo Tribunale ritiene che già per questa ragione si giustifica l’annullamento della decisione impugnata e il rinvio degli atti all’amministrazione affinché ( aggiornata la situazione medica tenendo conto anche dell’ammesso peggioramento intervenuto: “(…) il peggioramento intervenuto dal 13.03.2015, in applicazione dell’art. 88a cpv. 2 OAI, dovrà essere valutato nell’ambito di una nuova domanda di prestazioni. (…)” (XIV) e esperita una nuova inchiesta domestica ) si pronunci nuovamente sulla revisione intrapresa nell’ottobre 2012 vista la domanda di aumento del grado d’invalidità inoltrata tramite il dr. __________ con scritto del 23 ottobre 2012 (doc. AI 131/1, vedi anche consid. 1.4). Quanto alla valutazione medica l’evoluzione della stessa va accertata ritenuto, da una parte (come visto sopra), che già in occasione dell’inchiesta domestica del 14 novembre 2013 la situazione clinica non era sufficientemente chiara e, dall’altra parte, che – avuto riguardo all’ulteriore documentazione medica prodotta nella procedura ricorsuale (cfr. doc. B/2-18 e C) – lo stesso dr. __________, nell’annotazione del 14 luglio 2015, ha concluso: “(…) dall’attuale documentazione risulta un peggioramento dello stato di salute da 12.03.2015, quindi precedente alla decisione impugnata. Il caso andrà aggiornato nei prossimi mesi per poter valutare il ricupero della CL precedente tramite rapporto reumatologo curante, dr. __________. (…)” (X/1). Al riguardo questo Tribunale rileva che il dr. __________ nemmeno spiega esaurientemente per quali ragioni un eventuale peggioramento dello stato di salute vada fatto risalire al 12 marzo 2015 allorquando, ad esempio, il dr. __________, nel rapporto del 15 giugno 2015, ha evidenziato che “(…) con il 01.04.2015 l'Al ha emesso una decisione di soppressione della rendita d'invalidità. Nel rispettivo documento si ammette il peggioramento complessivo dello stato di salute della paziente “con effettivo passaggio da incapacità lavorativa del 40% al 50% dal 22.11.2013”, con motivazioni segnalate nel mio scritto citato del 13.12.2013. Da allora sono però subentrate nuove complicanze: da novembre del 2014 la signora ha avvertito ingravescenti dolori nella gamba destra a partenza della regione gluteale con una sofferenza prevalentemente di tipo meccanico (in carico). Dapprima ritenuta di origine muscolare la sintomatologia si è rivelata in un secondo tempo (inizio 2015) in relazione ad una frattura della facciata dorsale dell'acetabulo dell'anca destra. Il 12.03.2015 la paziente ha quindi necessitato di un ennesimo intervento chirurgico con la rimozione e sostituzione dell'acetabulo dell'anca destra (dove la paziente aveva già subito l'impianto di un'endoprotesi totale), operazione effettuata dal suo ortopedico di fiducia Dr. __________, Clinica __________. Successivamente si è purtroppo assistito ad una lussazione della protesi dell'anca destra necessitando della riposizione chiusa in narcosi (09.04.2015). La paziente prosegue con le misure riabilitative, ordinate dall'ortopedico. Non ho ancora potuto riesaminarla. Le recenti problematiche ortopediche sono all'origine di un'ulteriore interruzione dell'attività lavorativa (IL del 100%). (…)” (doc. B3). Va qui rilevato che anche dall’aggiornamento delle assenze fornito dal datore di lavoro risulta che, senza significative interruzioni (ovvero di almeno tre mesi), l’assicurata è risultata inabile al lavoro al 100% per malattia dal 21 maggio 2013 al 12 dicembre 2013 (cfr. doc. AI 174/5). 2.10.   In simili circostanze, visto tutto quanto precede, il ricorso va accolto ai sensi dei considerandi e gli atti rinviati all’amministrazione affinché, effettuati i necessari accertamenti medici volti a stabilire l’evoluzione della capacità lavorativa nel tempo e i rispettivi limiti funzionali, ordinata una nuova inchiesta domestica e aggiornati i dati economici, si pronunci nuovamente sulla revisione intrapresa nell’ottobre 2012. Quanto alla questione a sapere come calcolare il grado d’invalidità – ritenuta la ripartizione quale salariata al 60% e casalinga al 40% (cfr. consid. 2.8) – l’amministrazione dovrà inoltre tenere conto della sentenza 7186_09 del 2 febbraio 2016 nella causa Di Trizio contro Svizzera della Corte europea dei diritti dell’uomo e dell’eventuale nuovo giudizio che potrà essere emanato dal TF (cfr. consid. 2.6) o eventuali direttive che emanerà l’UFAS su questo tema. Atteso che la STF 9C_49/2008 del 28 luglio 2008 riguardava una fattispecie analoga alla presente (cfr. consid. 2.6), va infatti segnalato che dalla sentenza 7186_09 del 2 febbraio 2016 della Corte europea risulta che la ricorrente in quella causa ha indicato di voler chiedere la revisione della STF 9C_49/2008 del 28 luglio 2008: “(…) En l’espèce, la Cour note que la requérante, dûment représentée par un avocat devant la Cour, a elle-même indiqué qu’elle formulerait une demande de réparation dans le cadre d’une requête en révision de l’arrêt du Tribunal fédéral du 28 juillet 2008. Une telle possibilité étant explicitement prévue à l’article 122 de la loi sur le Tribunal fédéral du 17 juin 2005 (paragraphe 29 ci-dessus), et rien ne suggérant que cette voie soit illusoire – ce que la requérante ne prétend d’ailleurs pas –, la Cour estime qu’il n’y a pas lieu d’octroyer un montant quelconque au titre du préjudice matériel. (…)” (sentenza della Corte europea dei diritti dell’uomo 7186_09 del 2 febbraio 2016 nella causa Di Trizio contro Svizzera, paragrafo 120 pag. 35).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il quale rifonderà inoltre al ricorrente, patrocinato dall’RA 1 di __________, fr. 1'500.-- a titolo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