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32.2015.50 vom 27. Februar 2015</w:t>
      </w:r>
    </w:p>
    <w:p>
      <w:r>
        <w:t>TI Tribunale d'appello, 2015-02-27, IT</w:t>
      </w:r>
    </w:p>
    <w:p>
      <w:r>
        <w:rPr>
          <w:b/>
        </w:rPr>
        <w:t xml:space="preserve">Quelle: </w:t>
      </w:r>
      <w:r>
        <w:t>https://mcp.opencaselaw.ch/entscheid/ti_gerichte_32.2015.50</w:t>
      </w:r>
    </w:p>
    <w:p>
      <w:r>
        <w:t>FR: TI_GERICHTE 32.2015.50 du 27 février 2015</w:t>
      </w:r>
    </w:p>
    <w:p>
      <w:r>
        <w:t>IT: TI_GERICHTE 32.2015.50 del 27 febbraio 2015</w:t>
      </w:r>
    </w:p>
    <w:p>
      <w:pPr>
        <w:pStyle w:val="Heading2"/>
      </w:pPr>
      <w:r>
        <w:t>Erwägungen</w:t>
      </w:r>
    </w:p>
    <w:p>
      <w:r>
        <w:rPr>
          <w:b/>
        </w:rPr>
        <w:t>E. 17</w:t>
      </w:r>
    </w:p>
    <w:p>
      <w:r>
        <w:t>LAI prevede in particolare che:</w:t>
      </w:r>
    </w:p>
    <w:p>
      <w:r>
        <w:t>"Lassicurato ha diritto alla formazione in una nuova attività lucrativa, se la sua invalidità esige la riformazione professionale e se con questa la capacità al guadagno possa essere presumibilmente conservata o migliorata, in misura essenziale."</w:t>
      </w:r>
    </w:p>
    <w:p>
      <w:r>
        <w:t>Invalido ai sensi di questa disposizione è un assicurato che, a causa del tipo e della gravità del danno alla salute subito, patirebbe, senza una riformazione professionale, una perdita di guadagno pari almeno al 20% (DTF 124 V 110 consid. 2b;AHV Praxis 1997 pag. 80 consid. 1b).</w:t>
      </w:r>
    </w:p>
    <w:p>
      <w:r>
        <w:t>Ai sensi dellart. 6 cpv. 1 OAI</w:t>
      </w:r>
    </w:p>
    <w:p>
      <w:r>
        <w:t>"per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w:t>
      </w:r>
    </w:p>
    <w:p>
      <w:r>
        <w:t>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consid.2a; DTF 124 V 110 consid. 2a; DTF 122 V 79 consid. 3b/bb; RCC pag. 495 consid.2a).</w:t>
      </w:r>
    </w:p>
    <w:p>
      <w:r>
        <w:t>L'assicurato ha in particolare diritto alla formazione completa, che appare necessaria nel suo caso per mantenere o migliorare in maniera essenziale la sua capacità di guadagno (AHI 1997 pag. 85; STFA non pubbl. del 21 luglio 1995 in re F. consid. 2b).</w:t>
      </w:r>
    </w:p>
    <w:p>
      <w:r>
        <w:t>Una formazione non può quindi essere interrotta anticipatamente se, tenuto conto del principio della proporzionalità, il successo prevedibile dei provvedimenti dintegrazione appare ancora raggiungibile (RDAT I 1998 pag. 295 consid.1b; Meyer-Blaser, Rechtsprechung des Bundesgerichts zum IVG, Zurigo 1997, pag. 131).</w:t>
      </w:r>
    </w:p>
    <w:p>
      <w:r>
        <w:t>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w:t>
      </w:r>
    </w:p>
    <w:p>
      <w:r>
        <w:t>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w:t>
      </w:r>
    </w:p>
    <w:p>
      <w:r>
        <w:t>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w:t>
      </w:r>
    </w:p>
    <w:p>
      <w:r>
        <w:t>Nr.</w:t>
      </w:r>
    </w:p>
    <w:p>
      <w:r>
        <w:rPr>
          <w:b/>
        </w:rPr>
        <w:t>E. 18</w:t>
      </w:r>
    </w:p>
    <w:p>
      <w:r>
        <w:t>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w:t>
      </w:r>
    </w:p>
    <w:p>
      <w:r>
        <w:rPr>
          <w:b/>
        </w:rPr>
        <w:t>E. 20</w:t>
      </w:r>
    </w:p>
    <w:p>
      <w:r>
        <w:t>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2.7.   Un danno alla salute psichica può portare ad uninvalidità se esso è di gravità tale da non poter praticamente esigere dall'assicurato di valersi della sua capacità lavorativa sul mercato del lavoro (cfr. DTF 127 V 298 consid. 4c).</w:t>
      </w:r>
    </w:p>
    <w:p>
      <w:r>
        <w:t>Affinchéun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()</w:t>
      </w:r>
    </w:p>
    <w:p>
      <w:r>
        <w:t>Queste conclusioni possono essere fatte proprie dal TCA.</w:t>
      </w:r>
    </w:p>
    <w:p>
      <w:r>
        <w:t>La censura del ricorrente non può essere accolta.</w:t>
      </w:r>
    </w:p>
    <w:p>
      <w:r>
        <w:t>2.10.2.   Per quanto riguarda la patologia neurologica, lassicurata è stata sottoposta a una valutazione specialistica da parte del Dr. __________, spec. FMH in neurologia, il quale nella perizia del 31 gennaio 2014 non ha posto alcuna diagnosi con influsso sulla capacità lavorativa (doc. AI 50-49).</w:t>
      </w:r>
    </w:p>
    <w:p>
      <w:r>
        <w:t>A mente del Dr. __________, dal punto di vista neurologico, non sono stati trovati reperti determinanti unincapacità lavorativa (doc. AI 50-49).</w:t>
      </w:r>
    </w:p>
    <w:p>
      <w:r>
        <w:t>essere applicata la riduzione percentuale sul reddito statistico da invalido, argomentando:</w:t>
      </w:r>
    </w:p>
    <w:p>
      <w:r>
        <w:t>Richiamato il consid. 2.2. essendo il grado di invalidità dellinsorgente inferiore al 20%, RI 1 non ha dunque diritto ad una riformazione professionale.</w:t>
      </w:r>
    </w:p>
    <w:p>
      <w:r>
        <w:t>Visto quanto precede, la decisione impugnata va confermata e il ricorso respinto.</w:t>
      </w:r>
    </w:p>
    <w:p>
      <w:r>
        <w:t>2.13.   Lassicurata, in sede di ricorso, ha chiesto lesecuzione di una perizia giudiziaria completa (doc. VI).</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In concreto, alla luce delle risultanze di cui sopra, questo Tribunale ritiene la fattispecie sufficientemente chiarita, per cui non appare necessario procedere ad altri accertamenti.</w:t>
      </w:r>
    </w:p>
    <w:p>
      <w:r>
        <w:rPr>
          <w:b/>
        </w:rPr>
        <w:t>E. 24</w:t>
      </w:r>
    </w:p>
    <w:p>
      <w:r>
        <w:t>gennaio” (doc. AI 62-1 e 63-2). 2.10.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2.10.1.   Per quanto riguarda la patologia reumatologica, l’assicurata è stata sottoposta a una valutazione specialistica da parte del Dr. __________, spec. FMH in reumatologia e riabilitazione, il quale nella perizia del 29 gennaio 2014 ha posto la diagnosi con influsso sulla capacità lavorativa di “ - sindrome dolorosa cronica alla spalla destra in stato dopo intervento chirurgico artroscopico di ricostruzione dei tendini del sovraspinato e infraspinato e decompressione subacromiale in data 14.06.2012 per lesione parziale della cuffia dei rotatori; - dolori persistenti alla caviglia destra nella zona del malleolo laterale in stato dopo trauma distorsivo nel dicembre 2013 con lesione del legamento astragalocalcaneare ” (doc. AI 50-43). Il Dr. __________ ha indicato che per quanto riguarda la spalla destra valgono le limitazioni funzionali indicate – in ambito LAINF – dal medico di circondario Dr. __________ (cfr. visita medica di chiusura del 5 settembre 2013, doc. LAINF 47-1). Invece per la caviglia destra vi sono limitazioni nelle attività da svolgere prevalentemente in piedi, nel camminare su terreni sconnessi o salire e scendere le scale (doc. AI 50-45). Secondo il perito, l’assicurata è inabile al 50% (riduzione del rendimento) nella precedente attività di aiuto cucina dal 5 settembre 2013 (chiusura del caso in ambito LAINF). Per contro, in un’attività adeguata l’abilità è piena (100%), dalla medesima data (doc. AI 50-46). Il TCA non ha motivo per distanziarsi da questa valutazione peritale, che non è del resto stata smentita da certificati medico-specialistici attestanti delle patologie maggiormente invalidanti, in grado di influire sulla capacità lavorativa residua dell’interessata. Tale non può essere la certificazione del Dr. __________ del 17 settembre 2014 (doc. AI 68-11) o quella della __________ del 27 agosto 2014 (doc. AI 68-12). Il Dr. __________, spec. FMH in medicina interna, ma non nella materia che qui ci occupa, ha infatti unicamente indicato quelli che sono – a suo parere – i limiti funzionali dell’assicurata senza fornire ulteriori elementi oggettivi non esaminati dal perito (doc. AI 68-11). Nel certificato del 27 agosto 2014 della __________ viene unicamente indicata l’inabilità lavorativa al 100% dal 18 agosto 2014 al 20 ottobre 2014 senza ulteriori precisazioni (doc. AI 68-12). Nell’annotazione del 10 ottobre 2014 il Dr. __________ ha concluso che la nuova documentazione non apporta alcun nuovo elemento medico che permetta di modificare la valutazione SAM. Si tratta – secondo il medico del SMR – di “ una differente valutazione medica di uno stesso stato di salute ” (doc. AI 70-1). L’avv. RA 1 – in sede di ricorso al TCA – ha prodotto un certificato medico del 29 gennaio 2015 del Dr. __________ (doc. A2) e un referto dell’11 febbraio 2015 della __________ (doc. A3). Anche questa nuova documentazione non permette una diversa valutazione della fattispecie. Il Dr. __________, spec. FMH in chirurgia, ortopedia e traumatologia, non ha posto una diagnosi divergente da quella del perito: “ Dolori del cingolo omero-scapolare a destra di origine non chiara (DD CRPS, spalla congelata, neurite del plesso brachiale, miotrofia nevralgica, sindrome di Parsonage Turner) ” e ha suggerito di continuare a farsi seguire dai sanitari della __________ (doc. A2). Nella certificazione dell’11 febbraio 2015 il Dr. __________ e il Dr. __________ della __________, dopo aver posto la diagnosi già indicata dal Dr. __________ e rilevato che i dolori non possono essere spiegati completamente (“ in der heutigen CT Untersuchung konnten die klinisch ausgeprägten Schmerzen nicht vollumfänglich erklärt werden ”), hanno preso posizione sulle opzioni terapeutiche, in particolare sulle possibilità di un intervento chirurgico alla spalla (doc. A3). I due certificati sono stati sottoposti al Dr. __________ del SMR, il quale in data 8 aprile 2015 ha concluso che non risulta una sostanziale modifica del quadro clinico rispetto alla valutazione del SAM “ con già allora spalla con evoluzione cronica, resistenza alle terapie e sofferenza non spiegabile e oggettivabile con dei reperti di tipo somatico ” (doc. VI1). Queste conclusioni possono essere fatte proprie dal TCA. Il ricorrente in data 16 aprile 2015 ha formalmente eccepito questo documento del SMR prodotto dall’UAI, in quanto “ non è firmato ” (doc. VI). La censura del ricorrente non può essere accolta. L’annotazione dell’8 aprile 2015 del Dr. __________ del SMR, sebbene senza firma autografa del medico, è allegata alla risposta dell’Ufficio AI del 13 aprile 2015, di cui è parte integrante visto che la valutazione del medico è stata ripresa testualmente (cfr. doc. IV, pag. 4). La risposta dell’UAI è quindi firmata, in originale, dal sostituto capo ufficio __________ e dalla giurista __________. 2.10.2.   Per quanto riguarda la patologia neurologica, l’assicurata è stata sottoposta a una valutazione specialistica da parte del Dr. __________, spec. FMH in neurologia, il quale nella perizia del 31 gennaio 2014 non ha posto alcuna diagnosi con influsso sulla capacità lavorativa (doc. AI 50-49). A mente del Dr. __________, dal punto di vista neurologico, non sono stati trovati reperti determinanti un’incapacità lavorativa (doc. AI 50-49). Il TCA non ha ragioni per scostarsi neppure da questa valutazione. 2.10.3.   Per quanto riguarda la patologia psichiatrica, l’assicurata è stata sottoposta a una valutazione specialistica da parte del Dr. __________, spec. FMH in psichiatria e psicoterapia, il quale nel rapporto del 16 aprile 2014 non ha posto alcuna diagnosi psichiatrica (doc. AI 50-55). Dal lato strettamente psichiatrico – secondo il perito – RI 1 è da ritenere totalmente abile al lavoro (doc. AI 50-55). Il TCA non ha ragioni per scostarsi nemmeno da questa valutazione. 2.10.4.   In conclusione, rispecchiando la valutazione SAM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abile al lavoro al 50% nella sua precedente professione, mentre in attività adeguate la capacità lavorativa è piena (100%), a far tempo dal 24 gennaio 2014. 2.11.   Occorre ora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2014 (la rendita è stata soppressa a partire dal 1° maggio 2014). L’amministrazione ha applicato i dati del 2012 che vanno perciò aggiornati al 2014. 2.11.1.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 caso concreto, l’amministrazione ha ritenuto di dovere fare capo ai dati statistici per il calcolo del reddito da valido, visto che l’assicurata al momento dell’insorgenza del danno alla salute era iscritta all’assicurazione disoccupazione (vedi anche lo scritto dell’assicurata del 13 maggio 2014, doc. AI 54-1 e 72-2). Nella fattispecie, l’importo del reddito da valido quantificato dall’amministrazione è di fr. 49’412.-- per il 2012 applicando le tabella RSS, divisione 56 – attività di ristorazione, livello 4 (doc. AI 72-2). L’avv. RA 1 non ha contestato questo importo, né l’utilizzo dei dati statistici (cfr. doc. I, VI). Il TCA non ha ragioni per scostarsi dal modo di procedere dell’amministrazione, ma deve aggiornare i dati al 2014. Applicando i dati statistici nazionali di cui alla Tabella TA1, riferita all’anno 2012, p.to. 55-56 “ Servizi di alloggio e di ristorazione ”, livello di qualifica 1, attività semplici di tipo fisico o manuale, si ottiene un importo mensile di fr. 3’665.-- che riportato su 41.7 ore corrisponde a fr. 3'820.76 al mese, pari a fr. 45'849.15 all’anno che aggiornati al 2014 sono pari a fr. 46'539.45 (+ 0,7% per il 2013, +0,8% per il 2014 dati dell’Ufficio federale di statistica). 2.11.2.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U tilizzando i dati forniti dalla tabella TA1 2012 elaborata dall'Ufficio federale di statistica, la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4'112.--. Riportando questo dato su 41.7 ore ( cfr. tabella pubblicata sul sito web dell’Ufficio federale di statistica ), esso ammonta a fr. 4'286.76 mensili oppure a fr. 51'441.12 per l'intero anno (fr. 4'286.76 x 12, ritenuto che la quota di tredicesima è già compresa, cfr. STFA U 274/98 del 18 febbraio 1999, p. 5 consid. 3a). Dopo adeguamento all'indice dei salari nominali (" Nominallohnindex" - cfr. DTF 126 V 81 consid. 7a e STCA del 20 febbraio 2001 nella causa R.), si ottiene, per il 2014 un reddito mensile di fr. 4'351.30 oppure di fr. 52'215.60 per l'intero anno (+0,7% per il 2013 e +0,8% per il 2014). 2.12.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w:t>
      </w:r>
    </w:p>
    <w:p>
      <w:r>
        <w:rPr>
          <w:b/>
        </w:rPr>
        <w:t>E. 25</w:t>
      </w:r>
    </w:p>
    <w:p>
      <w:r>
        <w:t>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In concreto, nella decisione impugnata, l’amministrazione ha applicato inizialmente una riduzione del 6% per attività leggere (cfr. decisione del 27 febbraio 2015, doc. 72-2).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qui sopra riprodotta, il TCA non ritiene corretta una riduzione del 6% per attività leggere. Tuttavia, come vedremo, sia applicando una riduzione del 5% o del 10%, la soluzione finale non cambia. Procedendo quindi al raffronto dei redditi, con riferimento al 2014, partendo da un salario da invalido di fr. 52'215.60 e ammettendo la riduzione del 5%, il reddito ipotetico dell’insorgente ammonta, quindi, a fr. 49'604.82 . C onfrontando ora questo dato con l’ammontare del reddito da valido nel medesimo anno di fr. 46'539.45 (consid. 2.11.1.) non emerge alcuna perdita di guadagno. Procedendo al raffronto dei redditi, con riferimento al 2014, partendo da un salario da invalido di fr. 52'215.60 e ammettendo la riduzione del 10%, il reddito ipotetico dell’insorgente ammonta, quindi, a fr. 46'994.05 . C onfrontando ora questo dato con l’ammontare del reddito da valido nel medesimo anno di fr. 46'539.45 (consid. 2.11.1.), non emerge – anche in questo caso – alcuna perdita di guadagno, come stabilito dall’amministra-zione nella decisione impugnata. Le prestazioni dell’assicurata vanno dunque soppresse a partire dal 1° maggio 2014,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Richiamato il consid. 2.2. essendo il grado di invalidità dell’insorgente inferiore al 20%, RI 1 non ha dunque diritto ad una riformazione professionale. Visto quanto precede, la decisione impugnata va confermata e il ricorso respinto . 2.13.   L’assicurata, in sede di ricorso, ha chiesto l’esecuzione di una perizia giudiziaria completa (doc. VI).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 2 Cost. (DTF 124 V 94 consid. 4b, 122 V 162 consid. 1d, 119 V 344 consid. 3c con riferimenti). In concreto, alla luce delle risultanze di cui sopra, questo Tribunale ritiene la fattispecie sufficientemente chiarita, per cui non appare necessario procedere ad altri accertamenti.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