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32.2015.45 vom 14. Mai 2014</w:t>
      </w:r>
    </w:p>
    <w:p>
      <w:r>
        <w:t>TI Tribunale d'appello, 2014-05-14, IT</w:t>
      </w:r>
    </w:p>
    <w:p>
      <w:r>
        <w:rPr>
          <w:b/>
        </w:rPr>
        <w:t xml:space="preserve">Quelle: </w:t>
      </w:r>
      <w:r>
        <w:t>https://mcp.opencaselaw.ch/entscheid/ti_gerichte_32.2015.45</w:t>
      </w:r>
    </w:p>
    <w:p>
      <w:r>
        <w:t>FR: TI_GERICHTE 32.2015.45 du 14 mai 2014</w:t>
      </w:r>
    </w:p>
    <w:p>
      <w:r>
        <w:t>IT: TI_GERICHTE 32.2015.45 del 14 maggio 2014</w:t>
      </w:r>
    </w:p>
    <w:p>
      <w:pPr>
        <w:pStyle w:val="Heading2"/>
      </w:pPr>
      <w:r>
        <w:t>Erwägungen</w:t>
      </w:r>
    </w:p>
    <w:p>
      <w:r>
        <w:rPr>
          <w:b/>
        </w:rPr>
        <w:t>E. 18</w:t>
      </w:r>
    </w:p>
    <w:p>
      <w:r>
        <w:t>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2.5.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A sua volta, l’art. 17 cpv. 1 LPGA stabilisce che s 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2.6.   Nella fattispecie in esame – vista la valutazione del 10 giugno 2013 (doc. AI 35/1-2), nella quale il medico SMR dr. __________ ha, in particolare, osservato che “(…) trattandosi di giovane donna alla 1° richiesta indicata perizia. Vedi rapporti allegati di vecchi trattamenti psichiatrici (sotto 15.8.2002), 2 rapporti di brevissime degenze 2011 CPC, rapporto AI medico di famiglia e SPS. (…)” (doc. AI 35/1) – l’Ufficio AI ha ordinato una perizia presso il CPAS (doc. AI 36/1-2 e 37/1-2). Nella perizia 19 settembre 2013 (doc. AI 38/1-10), la dr.ssa __________ e la dr.ssa __________, entrambe FMH in psichiatria e psicoterapia e direttrice rispettivamente capo clinica del CPAS, dopo aver esposto dettagliatamente gli atti considerati ai fini della valutazione, l’anamnesi, l’esame clinico secondo AMDP-System, la descrizione della giornata, il trattamento psichiatrico attuale e le informazioni da terzi – posta la diagnosi con ripercussioni sulla capacità lavorativa di “(…) Disturbo di personalità emotivamente instabile, tipo borderline (ICD 10 F 60.31). Dall’anamnesi psicopatologica non si può escludere la presenza di pregresse franche fasi depressive, tali da configurare una co-diagnosi di Sindrome depressiva ricorrente, attualmente in remissione (ICD 10 F 33.4) (…)” (doc. AI 85/10) – , hanno evidenziato: " (…) Siamo confrontati con una donna di 44 anni, di origine __________, seguita dal 2009 al 2010 dallo psichiatra Dr. __________, che certifica un disturbo di personalità emotivamente instabile di tipo borderline. L'assicurata nel 2011 effettua due degenze presso la __________ di __________, durate pochi giorni. In occasione di queste oltre al disturbo di personalità viene indicato un uso dannoso di alcool. Dopo la dimissione inizia la presa a carico presso il Servizio psico-sociale di Locarno. Il medico curante Dr. __________ nel suo certificato non specifica un'inabilità lavorativa ma sottolinea che l'assicurata ha svolto sempre lavori a tempo parziale poiché non riusciva a sopportare lo stress psico-fisico. Nel questionario apposito, compilato nel dicembre 2012, l'allora datore di lavoro indica che l'assicurata soddisfa le esigenze se non supera le 4 ore e mezza giornaliere di occupazione. Il rapporto medico stilato nel gennaio 2013 dalla psichiatra curante Dr.ssa __________ certifica la presenza del disturbo di personalità emotivamente instabile e dell'uso dannoso di alcool. Indica una precedente presa a carico in __________ nel 2001. Sottolinea che la somministrazione dei farmaci antidepressivi ha causato importanti effetti collaterali per cui è stata sospesa. Certifica un'inabilità lavorativa per l'ultima professione totale dal dicembre 2011 al febbraio 2012 e pari al 70% dal marzo 2012 al momento della compilazione del rapporto medico. Dato il buon decorso clinico, ipotizza un aumento della capacità lavorativa fino al 50%, cosa che avviene come si può evidenziare nel certificato allegato alla perizia, dalla quale si evince che dal giugno 2013 l'assicurata lavora al 50%. Indica una prognosi stazionaria. In questo ambito si richiede l'attuale perizia, specificando l'eventuale persistere dell'abuso etilico e i cambiamenti che potrebbe portare l'assunzione di medicamenti. La raccolta anamnestica conferma la presenza del disturbo di personalità emotivamente instabile di tipo borderline. L'assicurata infatti evidenzia una cera fragilità rispetto all'identità personale, che manifesta i suoi aspetti di maggiore debolezza quando è confrontata con relazioni importanti, che diventano conflittuali, amplificano i vissuti di inadeguatezza e possono elicitare i sentimenti di vuoto e solitudine allorché hanno termine. Proprie del disturbo di personalità sono anche le condotte autolesive, l'assicurata si procura tagli alle braccia fin dalla prima età adulta e solo recentemente sta imparando a meglio gestire i momenti di tensione endopsichica e di discontrollo emotivo. Negli anni l'assicurata ha mantenuto diverse occupazioni, presentando però varie fasi di scompenso, spesso in corrispondenza a conflitti relazionali; queste possono venire ricondotte a un funzionamento più deficitario del disturbo di personalità (elicitandone gli eventi gli elementi più disfunzionali) o franchi episodi depressivi. In questi periodi aumentava anche l'uso di alcool. Considerando questi elementi, l'evoluzione del quadro clinico nell'ultimo periodo risulta positiva, come rilevato anche dalla psichiatra curante. Come previsto dalla stessa l'assicurata ha mantenuto un occupazione nell'attività della ristorazione, che particolarmente ama, in una percentuale pari almeno al 50%. L'assicurata non ha trovato difficoltà a confrontarsi con percentuali lievemente superiori mentre quando era costretta a lavorare al 70-80% il suo stato psichico presto ne risentiva. La recente certificazione di inabilità lavorativa totale (vedi certificato della curante allegato) era dettata da un cambio della mansione all'interno dell'albergo dove lavorava, con la richiesta all'assicurata di assumere un ruolo direttivo e di gestione degli altri. L'assunzione di questi compiti, data la fragilità personologica, ha determinato uno scompenso allorché si è trovata confrontata con situazioni di conflittualità e di tipo agonistico. Nonostante questo evento, legato alla richiesta inopportuna di assumere un ruolo di responsabilità, l'assicurata presenta una condizione di discreto compenso psichico e anche un buon adattamento alla nuova realtà abitativa. Il disturbo di personalità risulta essere sufficientemente contenuto nei suoi aspetti disfunzionali emotivi e comportamentali: l'assicurata, nonostante il recente disagio esperito sul luogo di lavoro, da 5 mesi non attua più comportamenti autolesivi (tagli alle braccia). Verosimilmente questo avviene anche grazie alla presa a carico soprattutto psicologica avuta, della quale ha beneficiato; il seguito specialistico l'ha aiutata ad essere più consapevole di alcuni aspetti del proprio funzionamento (per esempio gli agiti autolesivi) e riuscire a contenerli. La consapevolezza del proprio modo di porsi all'interno delle relazioni pregnanti dal punto di vista affettivo risulta essere invece tuttora parziale e questo rappresenta tuttora un ambito di fragilità e che può favorire scompensi futuri. L'assicurata in passato ha assunto medicamenti che le hanno procurato importanti effetti collaterali e per questo attualmente non gliene sono prescritti. Essendo in presenza di un disturbo personologico, l'opzione farmacologica appare di secondo piano. L'utilizzo di alcool ha una funzione curativa rispetto ai vissuti depressivi e all'instabilità emotivo-comportamentale. Risulta essere episodico, non determina una condizione di dipendenza e non ha un'influenza significativa sulla capacità di lavoro. La prognosi per un aumento della capacità lavorativa rispetto a quella da noi certificata risulta incerta, data la condizione di fragilità dettata dal disturbo personologico. Considerando però l'evoluzione positiva avuta nell'ultimo periodo, si consiglia una rivalutazione del quadro clinico a distanza di 12-18 mesi. (…)" (doc. AI 38/7-8) Circa le conseguenze sulla capacità di lavoro i periti hanno concluso: " (…) 1.     Descrizione di risorse e deficit – secondo schema MINI ICF – APP – 1. Rispetto delle regole : grado di disabilità nullo. Rispetta gli appuntamenti di lavoro, non fatica ad adattarsi alla routine quotidiana o a integrarsi nei processi organizzativi. 2. Organizzazione dei compiti : grado di disabilità nullo. Sa dedicare il tempo adeguato al lavoro e alla vita privata. Dopo il raggiungimento degli scopi, riesce a distaccarsi e a concentrarsi su altri interessi. 3. Flessibilità : grado di disabilitä lieve-medio. Può presentare difficoltà ad adattarsi alle nuove situazioni, data l'incertezza identitaria, la labilità emotiva, la facile elicitazione di vissuti di inadeguatezza e ansia. Può manifestare reazioni di disagio nei confronti dei cambiamenti. Non riesce a gestire ruoli di leadership. 4. Competenze : grado di disabilità da nullo a medio. Generalmente riesce ad esplicare le proprie competenze, pur presentando una certa esauribilità sul medio termine. Di fronte a situazioni conflittuali possono però scatenarsi reazioni emotivo-comportamentali discontrollate in grado di inficiare anche in modo consistente le risorse presenti. 5. Giudizio : grado di disabilità lieve-medio. Può essere in difficoltà nel giudicare in modo flessibile e articolato situazioni e ambienti. 6. Persistenza : grado di disabilità lieve. Generalmente riesce ad assolvere i compiti nei tempi previsti ma sul lungo termine, verosimilmente a causa della tensione endopsichica che comporta il confronto con la realtà lavorativa, può avere maggiori difficoltà e necessitare di più tempo. 7. Assertività : grado di disabilità medio. Fatica a costruire una relazione di tipo cooperativo a causa della fragilità personologica. Quando qualcuno si propone con modalità agonistiche tende a subire per poi manifestare reazioni comportamentali discontrollate o scompensi depressivi. 8. Contatto con gli altri : grado di disabilità nullo. Riesce a mantenere buone relazioni informali. E' gratificata dalla componente relazionale del proprio lavoro. 9. Integrazione nel gruppo : grado di disabilità da nullo a medio. Riesce a integrarsi nel gruppo se si percepisce accolta e considerata nelle proprie capacità. Fatica molto a gestire l'eventuale insorgenza di conflitti interpersonali. 10. Relazioni intime : grado di disabilità da lieve a medio. La conflittualità nelle relazioni affettive è un fattore di rischio per la comparsa di franchi scompensi. Attualmente mantiene un rapporto con un compagno che è migliorato dopo la fine della convivenza. Sta costruendo una cerchia di amicizie. I rapporti con la famiglia di origine sono discreti. 11. Attività spontanee : grado di disabilità nullo. Riesce a mantenere i propri hobby traendone piacere. 12. Cura di sè: grado di disabilità nullo. È in grado di provvedere a sé senza limitazioni. Allo stesso modo gestisce i vari ambiti dell'economia domestica senza problemi di rilievo. 13. Mobilità : grado di inabilità nullo. Utilizza i mezzi pubblici senza difficoltà. Riesce anche a raggiungere nuovi posti senza grossi problemi. 2.     Conclusioni Visto il positivo decorso si giustifica una capacità lavorativa pari al 60% (diminuzione dell'orario, rendimento pieno) per l'ultima, che risulta essere un'attività confacente. Altre attività confacenti al quadro clinico risultano essere quelle piuttosto semplici, che non richiedano una grande flessibilità o sforzo mentale, che prevedano un contatto con la clientela. L'assicurata può lavorare in team se inserita in contesti ambientali accoglienti e in cui non debba assumere ruoli gestionali. La capacità lavorativa come casalinga risulta piena. Rispetto al passato, in base a quanto da noi raccolto anamnesticamente è giustificata la valutazione della psichiatra curante che identifica un'inabilità lavorativa totale dal dicembre 2011 al febbraio 2012, pari al 70% da marzo 2012 al maggio 2013 e al 50% dal giugno 2013 fino ad ora. A partire dall'attuale perizia l'inabilità lavorativa è del 40%. L'assicurata attualmente ha un'occupazione che però presenta elementi di difficoltà legati ai pregressi conflitti relazionali. In caso di perdita del lavoro è opportuno un aiuto da parte dell'UAI per la reintegrazione professionale sotto forma di aiuto al collocamento e sostegno in una fase iniziale. (…)" (doc. AI 38/8-10) L’Ufficio AI – viste le risultanze peritali, ritenuto il rapporto finale SMR 23 settembre e l’annotazione 4 ottobre 2013 del dr. Lurati (doc. AI 39/1-3 e 41/1) e viste le tabelle elaborate il 7 ottobre 2013 (doc. AI 42/1-4 e 43/1-4) nonché il rapporto finale del consulente in integrazione professionale del 30 ottobre 2013 (doc. AI 45/1-3) – con decisione 14 maggio 2014 ha riconosciuto il diritto a tre quarti di rendita dal 1. maggio al 30 settembre 2013 (doc. B).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125 V 353 consid. 3b/bb, 123 V 176, 122 V 161, 104 V 212; SVR 1998 IV Nr. 1 pag. 2; SZS 1988 pagg. 329 e 332; ZAK 1986 pag. 189; Locher/Gächter, Grundriss des Sozialversicherungsrechts, Berna 2014, pag. 551).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Nella STF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consid. 4.2; 8C_5/2011 del 27 giugno 2011 consid. 5.4; 8C_790/2010 del 15 febbraio 2011 consid. 6; 8C_828/2007 del</w:t>
      </w:r>
    </w:p>
    <w:p>
      <w:r>
        <w:rPr>
          <w:b/>
        </w:rPr>
        <w:t>E. 23</w:t>
      </w:r>
    </w:p>
    <w:p>
      <w:r>
        <w:t>aprile 2008 consid. 7; DTF 125 V 353 consid. 3a/cc; Pratique VSI 2001 pag. 109 consid. 3a/cc; in argomento vedi anche Meyer/Reichmuth, Rechtsprechung des Bundesgerichts zum IVG, 2014, ad art. 28a, pag. 398-399).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vedi anche Meyer/Reichmuth, op. cit, ad art. 28a, pag. 395 ).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intravede ragioni che gli impediscano di far proprie le conclusioni cui sono giunti i periti del CPAS. I periti, infatti – evidenziato che “(…) l’evoluzione del quadro clinico nell’ultimo periodo risulta positiva, come rilevato anche dalla psichiatra curante. Come previsto dalla stessa l’assicu-rata ha mantenuto un’occupazione nell’attività della ristorazione, che particolarmente ama, in una percentuale pari almeno al 50%. L’assicurata non ha trovato difficoltà a confrontarsi con percentuali lievemente superiori mentre quando era costretta a lavorare al 70-80% il suo stato psichico ne risentiva. […] Il disturbo di personalità risulta essere sufficientemente contenuto nei suoi aspetti disfunzionali emotivi e comportamentali: l’assicurata, nonostante il recente disagio esperito sul luogo di lavoro, da 5 mesi non attua più comportamenti auto lesivi (tagli alle braccia). Verosimilmente questo avviene anche grazie alla presa a carico soprattutto psicologica avuta, della quale ha beneficiato; il seguito specialistico l’ha aiutata ad essere più consapevole di alcuni aspetti del proprio funzionamento (per esempio gli agiti auto lesivi) e riuscire a contenerli. (…)” (doc. AI 38/8) – , hanno concluso che “(…) rispetto al passato, in base a quanto da noi raccolto anamnesticamente è giustificata la valutazione della psichiatra curante che identifica un’inabilità lavorativa totale dal dicembre 2011 al febbraio 2012, pari al 70% da marzo 2012 al maggio 2013 e al 50% da giugno 2013 fino ad ora. A partire dall’attuale perizia l’inabilità lavorativa è del 40%. (…)” (doc. AI 38/9). La dettagliata ed approfondita valutazione del CPAS (confermata anche dal dr. __________ nel rapporto finale SMR del 23 settembre 2013 sub. doc. AI 39/1-3) non è stata del resto validamente smentita da altri certificati da parte di medici specialisti attestanti nuove patologie. Quanto al certificato medico del 30 marzo 2015 – nel quale il dr. __________, medico assistente del SPS di __________, ( senza porre una diagnosi secondo una classificazione riconosciuta, senza confrontarsi con la perizia 19 settembre 2013 del CPAS e in modo del tutto generico ) ha attestato una inabilità lavorativa del “(…) 50% dal 30.03.2015 al 30.09.2015. Si ritiene la paziente abile su un impiego con occupazione di 5 ore al di e al massimo. (…)” (doc. C) – questo Tribunale (conformemente alla succitata giurisprudenza; cfr. consid. 2.7) può fare proprie le conclusioni dell’Ufficio AI secondo cui “(…) lo scarno certificato medico del Dr. __________ non può essere preso in considerazione ai fini del presente giudizio in quanto del tutto generico (vale a dire privo delle necessarie diagnosi, dei disturbi soggettivi, delle considerazioni oggettive, della prognosi, delle eventuali osservazioni conclusive, ecc.), non sufficientemente circostanziato e non conforme ai criteri stabiliti dalla giurisprudenza applicabile in materia. (…)” (X). In conclusione, rispecchiando la perizia 19 settembre 2013 del CPAS tutti i criteri di affidabilità e completezza richiesti dalla giurisprudenza (cfr. consid. 2.7) e ritenuto che la situazione valetudinaria è stata valutata in maniera approfondita, a ragione l’Ufficio AI ha ritenuto una capacità lavorativa del 60%, tanto nella sua abituale quanto in un’attività adeguata, dal settembre 2013. Va qui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come accennato (cfr. consid. 2.7) alla luce del rapporto di fiducia esistente con il paziente, il medico curante attesterà, in caso di dubbio, in favore del suo paziente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All’assicurata va comunque fatto presente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Al riguardo va evidenziato che lo stesso Ufficio AI – rilevato come il certificato medico del 30 marzo 2015 del dr. __________ si riferisse ad un’epoca posteriore alla decisione impugnata – ha osservato che: “(…) la questione inerente un eventuale peggioramento dello stato di salute della Signora RI 1 esula pertanto dalla presente disputa davanti al TCA e dovrà – se del caso – formare oggetto di un nuovo provvedimento amministrativo. (…)” (X). 2.9.   Visto che l'assicurata presenta una capacità lavorativa del 60% in un’attività semplice e ripetitiva – partendo dai redditi stabiliti dal consulente IP per il 2012 e non contestati: da valido di fr. 49'412.-- e da invalido di fr. 53'804.91 (cfr. le tabelle elaborate il 7 ottobre 2013 sub doc. AI 42/1-4 e 43/1-4) – , nel 2013 (anno rilevante vista la soppressione della rendita a contare dal mese di ottobre), il reddito da valido ammonta a fr. 49'757.88 (49'412.--aumentati dello 0.7% secondo la stima dell’evoluzione dei salari nominali) e quello da invalido a fr. 30'883.48 (53'804.91 aumentati dello 0.7% secondo la stima dell’evoluzione dei salari nominali x 60% e ridotti del 5% [come rettamente fatto, ai sensi della STCA 32.2012.36 del 31 gennaio 2013 confermata dal TF nella STF 9C_179/2013 del 26 agosto 2013, dall’Ufficio AI con la risposta di causa]). Ritenuti un reddito da valido di fr. 49'757.88 e da invalido di fr. 30'883.48 , si ottiene un grado d’invalidità del 38% ([49'757.88 - 30'883.48] x 100 : 49'757.88 = 37.93% arrotondato al 38% secondo la giurisprudenza di cui alla DTF 130 V 121 consid. 3.2). Di conseguenza, visto il miglioramento dello stato di salute dal giugno 2013 e considerato il grado d’invalidità non pensionabile del 38%, è a giusto titolo che l’amministrazione ha riconosciuto il diritto a tre quarti di rendita fino al 30 settembre 2013 (cfr. consid. 2.3 e 2.5). 2.10.   In simili circostanze, visto tutto quanto precede, il ricorso va dunque respinto e la decisione impugnata confermata.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