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32.2015.35 vom 3. Februar 2015</w:t>
      </w:r>
    </w:p>
    <w:p>
      <w:r>
        <w:t>TI Tribunale d'appello, 2015-02-03, IT</w:t>
      </w:r>
    </w:p>
    <w:p>
      <w:r>
        <w:rPr>
          <w:b/>
        </w:rPr>
        <w:t xml:space="preserve">Quelle: </w:t>
      </w:r>
      <w:r>
        <w:t>https://mcp.opencaselaw.ch/entscheid/ti_gerichte_32.2015.35</w:t>
      </w:r>
    </w:p>
    <w:p>
      <w:r>
        <w:t>FR: TI_GERICHTE 32.2015.35 du 3 février 2015</w:t>
      </w:r>
    </w:p>
    <w:p>
      <w:r>
        <w:t>IT: TI_GERICHTE 32.2015.35 del 3 febbraio 2015</w:t>
      </w:r>
    </w:p>
    <w:p>
      <w:pPr>
        <w:pStyle w:val="Heading2"/>
      </w:pPr>
      <w:r>
        <w:t>Regeste</w:t>
      </w:r>
    </w:p>
    <w:p>
      <w:r>
        <w:t>Nuova domanda di rendita respinta. Conferma della perizia pluridisciplinare e del grado d'incapacità lavorativa. Correzione del reddito da valido che ha comportato il riconoscimento di un quarto di rendita</w:t>
      </w:r>
    </w:p>
    <w:p>
      <w:pPr>
        <w:pStyle w:val="Heading2"/>
      </w:pPr>
      <w:r>
        <w:t>Erwägungen</w:t>
      </w:r>
    </w:p>
    <w:p>
      <w:r>
        <w:rPr>
          <w:b/>
        </w:rPr>
        <w:t>E. 1</w:t>
      </w:r>
    </w:p>
    <w:p>
      <w:r>
        <w:t>Perché, come risulta dalla decisione contestata, quale reddito da valido è stato preso in considerazione il dato statistico salariale 2012 riferito alla categoria 56 (ristorazione)?</w:t>
      </w:r>
    </w:p>
    <w:p>
      <w:r>
        <w:rPr>
          <w:b/>
        </w:rPr>
        <w:t>E. 2</w:t>
      </w:r>
    </w:p>
    <w:p>
      <w:r>
        <w:t>Perché non avete fatto riferimento al salario effettivamente percepito dall’assicurata prima del danno alla salute dichiarato il 9 marzo 2011 dall’ex datore di lavoro (doc. AI 140), fondamento della decisione 24 gennaio 2013 di reiezione della domanda di rendita emessa dall’Ufficio AI del Cantone di __________ (doc. AI 107)?” (XII). Con scritto 5 novembre 2015 l’amministrazione ha risposto: " In riferimento alla sua richiesta del 22 ottobre 2015, le possiamo confermare che è stato utilizzato il dato statistico poiché l'assicurata non lavorava più dal 2011 e dal 01.10.2012 risultava essere in assistenza. Tuttavia, considerato che l'assicurata risulta aver cessato l'attività lavorativa presso la __________ a causa del danno alla salute, lo scrivente Ufficio ritiene che avrebbe dovuto effettivamente prendere in considerazione il reddito indicato dall'ex-datore di lavoro.” (Doc. XIII) Ne consegue che quale reddito da valido deve essere preso l’importo di fr. 51'365.-- (stato 2012), così come risulta dalla decisione 24 gennaio 2013 dell’Ufficio AI del Cantone di __________ (cfr. consid. 1.1). 2.8.2.   Per quel che concerne il reddito da invalida,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2.9</w:t>
      </w:r>
    </w:p>
    <w:p>
      <w:r>
        <w:t>V isto l'esito favorevole del ricorso, l'assicurata, rappresentata da un patronato, ha diritto al versamento da parte dell’Ufficio AI di fr. 1’000.-- a titolo di ripetibili ( DTF 126 V 11 consid. 2).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Vista la soccombenza dell’Ufficio AI, a quest’ultimo sono accollate fr. 500.-- di spese e tasse di giustizia.</w:t>
      </w:r>
    </w:p>
    <w:p>
      <w:r>
        <w:rPr>
          <w:b/>
        </w:rPr>
        <w:t>E. 5</w:t>
      </w:r>
    </w:p>
    <w:p>
      <w:r>
        <w:t>settembre 2006).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Nel caso di specie, conformemente alla citata giurisprudenza, l’Ufficio AI ha utilizzato i dati salariali forniti dalla tabella TA1 (stato 2010) elaborata dall'Ufficio federale di statistica e relativa ad una professione che presuppone qualifiche inferiori (categoria 4) nel settore privato svizzero (a proposito della rilevanza delle condizioni salariali nel settore privato, cfr. RAMI 2001 U 439, pagg. 347ss. e SVR 2002 UV 15, pagg. 47ss.) per un salario mensile, aggiornato al 2012, di fr. 4’300.--. Riportando tale dato su 41.7 ore di durata media lavorativa settimanale, il dato statistico corrisponde a fr. 53’804.-- per un impiego a tempo pieno. L’amministrazione, tenuto conto di una capacità lavorativa del 50% (fr. 26'902.--) e di una riduzione di reddito per attività leggere dell’5%, ha determinato il reddito da invalida in fr. 25’557.-- (cfr. rapporto 19 novembre 2014 del consulente in integrazione professionale doc. AI 44). Dal raffronto dei redditi il grado d’invalidità è risultato essere del 50,24% ([51'365 - 25'557] x 100 : 51'365) che dà diritto a mezza rendita. In queste circostanze, l’assicurata ha diritto ad una mezza rendita dal 1° novembre 2014 in luogo del quarto di rendita. In conclusione, visto quanto sopra, la decisione contestata va annullata e riformata come sopra. Ne consegue che il ricorso va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