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32.2015.31 vom 21. Januar 2015</w:t>
      </w:r>
    </w:p>
    <w:p>
      <w:r>
        <w:t>TI Tribunale d'appello, 2015-01-21, IT</w:t>
      </w:r>
    </w:p>
    <w:p>
      <w:r>
        <w:rPr>
          <w:b/>
        </w:rPr>
        <w:t xml:space="preserve">Quelle: </w:t>
      </w:r>
      <w:r>
        <w:t>https://mcp.opencaselaw.ch/entscheid/ti_gerichte_32.2015.31</w:t>
      </w:r>
    </w:p>
    <w:p>
      <w:r>
        <w:t>FR: TI_GERICHTE 32.2015.31 du 21 janvier 2015</w:t>
      </w:r>
    </w:p>
    <w:p>
      <w:r>
        <w:t>IT: TI_GERICHTE 32.2015.31 del 21 gennaio 2015</w:t>
      </w:r>
    </w:p>
    <w:p>
      <w:pPr>
        <w:pStyle w:val="Heading2"/>
      </w:pPr>
      <w:r>
        <w:t>Regeste</w:t>
      </w:r>
    </w:p>
    <w:p>
      <w:r>
        <w:t>Nuova richiesta di prestazioni rifiutata con una non entrata in materia, non essendo stato reso verosimile un peggioramento. Il certificato medico prodotto dal ricorrente all'UAI è ininfluente, visto che nemmeno stabilisce un grado di incapacità lavorativa. Confermata la non entrata in materia</w:t>
      </w:r>
    </w:p>
    <w:p>
      <w:pPr>
        <w:pStyle w:val="Heading2"/>
      </w:pPr>
      <w:r>
        <w:t>Erwägungen</w:t>
      </w:r>
    </w:p>
    <w:p>
      <w:r>
        <w:rPr>
          <w:b/>
        </w:rPr>
        <w:t>E. 3</w:t>
      </w:r>
    </w:p>
    <w:p>
      <w:r>
        <w:t>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Infine,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 '</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4.   In concreto, con decisione del 19 novembre 2012 (doc. 240) l'Ufficio AI ha soppresso il diritto ad un quarto di rendita, avendo calcolato un grado di invalidità del 34% e quindi inferiore al grado minimo (40%). Il 15 settembre 2014 (doc. 256) il rappresentante dell'assicurato ha scritto all’Ufficio AI chiedendo di riaprire il caso, ritenendo che lo stato di salute dell’interessato fosse peggiorato e che vi fossero anche dei problemi psicologici gravi. Nel termine, prorogato di quasi due mesi (doc. 263), entro cui formulare le proprie osservazioni al progetto di decisione, l'assicurato ha sostanziato il suo stato di salute producendo il rapporto del 24 dicembre 2014 (doc. F) del dr. med. __________, sul quale si è subito pronunciato dapprima il dr. med. __________ (doc. 267), poi il dr. med. __________ (doc. 269), siccome specialista in psichiatria, entrambi attivi presso il Servizio Medico Regionale. In seguito, l’assicurato ha prodotto i certificati del dr. med. __________, suo medico curante, anch’essi vagliati dal secondo medico SMR intervenuto. Con il ricorso l'interessato ha prodotto delle nuove attestazioni di aprile (doc. E) e di settembre 2014 (doc. D) relative all’esame della colonna lombare rispettivamente delle spalle, oltre al già noto referto del dr. med. __________, mentre pendente causa non ha trasmesso altri rapporti medici. Su questi nuovi documenti il dr. med. __________ dell'SMR ha preso posizione il 23 febbraio 2015 (doc. IV/1), ritenendo che non risultava verosimilmente documentata una sostanziale modifica dello stato di salute con prolungato influsso sulla capacità lavorativa. 5.   Con sentenza 8C_457/2012 del 9 luglio 2012 (ribadita nella STF 8C_901/2013 del 27 febbraio 2014 consid. 2) il TF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 . Nella STF I 734/05 dell'8 marzo 2006 (citata nella STF 8C_177/2010 del 15 aprile 2010 )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6.   Da quanto precede discende innanzitutto che il referto del 24 aprile 2014 (doc. E) del dr. med. __________ del Servizio di radiologia dell’Ospedale __________ di __________ e il rapporto del 29 settembre 2014 (doc. D) del dr. med. __________ dell’__________ di __________ - peraltro incompleto siccome manca la firma del medico -, prodotti solo in sede di ricorso, non possono essere presi in considerazione nell'ambito della procedura di ricorso, poiché trasmessi tardivamente; possono essere oggetto di nuova domanda (STF 8C_901/2013 del 27 febbraio 2014 consid. 3.2; STF 8C_45/2014 del 20 febbraio 2014 consid. 4.2; STF 8C_457/2012 del 9 luglio 2012 consid. 3.1; STF 8C_177/2010 del 15 aprile 2010; STFA I 734/05 dell'8 marzo 2006), sebbene non riferiscano di un’incapacità lavorativa del ricorrente e siano già stati vagliati da un medico dell’SMR (doc. IV/1). Occorre invece analizzare il certificato medico del 24 dicembre 2014 (doc. F) trasmesso - correttamente - all'amministrazione, anche se non direttamente con la nuova richiesta di prestazioni, ma dopo un’abbondante proroga del termine ottenuta per inoltrare le proprie osservazioni. Un solo certificato è stato dunque prodotto dall'assicurato unitamente alla nuova domanda di prestazioni, ma si tratta di un certificato medico del tutto ininfluente, giacché il dr. med. __________, FMH psichiatria e psicoterapia, ha esposto l’anamnesi familiare, personale e professionale, lo status psicopatologico, la diagnosi, la valutazione e il procedere e infine la terapia in atto. Lo specialista ha posto la diagnosi di sindrome depressiva ricorrente di entità lieve (ICD-10; F33.0). Nella sua valutazione, lo psichiatra ha indicato trattarsi di un soggetto che ha presentato una problematica depressiva reattiva dovuta anche al mancato riconoscimento da parte di un assicuratore delle indennità di perdita di guadagno. A dire dell’interessato, le problematiche lombari e osteoarticolari non sarebbero state riconosciute dai periti assicurativi come significativamente invalidanti e questo ha provocato una tensione interna tale da richiedere un sostegno per aiutarlo a gestire questo momento difficile. Già dal 1999 al 2001 l’assicurato aveva avuto bisogno di un trattamento psichiatrico a seguito del divorzio. Ora è stato deciso di iniziare un trattamento psicoterapeutico e psichiatrico integrato, che prevedeva incontri settimanali aventi l’obiettivo di creare un’alleanza e dare spazio all’interessato per potere esprimere le emozioni e imparare a gestirle anche con l’ausilio della tecnica del rilassamento del training autogeno. Infine, è stata indicata la terapia farmacologica prescritta. Questo rapporto medico è stato sottoposto per una valutazione al dr. med. __________, anch’egli specialista in psichiatria e psicoterapia attivo presso il Servizio Medico Regionale dell'Ufficio AI. Il 19 gennaio 2015 (doc. 269) l’esperto ha evidenziato che la diagnosi indicata non implica di per sé un’inabilità lavorativa per esclusivi motivi psichici. Inoltre, il parere del collega non ha oggettivato delle limitazioni funzionali di ordine psichico rispettivamente lo psichiatra non si è espresso in termini di inabilità lavorativa né ha descritto una terapia medicamentosa di interesse psichiatrico. Pertanto, questo documento non permetteva di oggettivare limitazioni funzionali psichiche in qualsiasi attività rispettosa di eventuali limiti funzionali somatici. Anche il dr. med. __________ dell’SMR ha evidenziato il 23 febbraio 2015 (doc. IV/1) che la problematica psichica era di recentissimo riscontro con forte componente reattiva e di limitata entità e inoltre non v’era nessuna incapacità lavorativa prolungata. Egli ha quindi concluso che non risultava verosimilmente documentata una sostanziale modifica dello stato di salute con prolungato influsso sulla capacità lavorativa. 7. Alla luce dei certificati medici suesposti, il TCA ritiene che le valutazioni dei medici SMR intervenuti devono essere condivise. In effetti, nel rapporto del 24 dicembre 2014 il dr. med. __________ non ha apportato alcun nuovo elemento medico influente sulla capacità lavorativa dell'assicurato, tanto che nemmeno ha stabilito un grado di incapacità lavorativa del suo paziente. Già solo per questo motivo, la tesi del ricorrente secondo cui “ i diversi disturbi psicologici, in associazione alle patologie somatiche di cui soffre il predetto, determina un inabilità lavorativa del 50% ” (doc. I), non può essere accolta. Per di più, contrariamente a quanto sostenuto dall’assicurato, il suo psichiatra nemmeno ha diagnosticato dei disturbi comportamentali. Il TCA fa dunque proprie le affermazioni e le conclusioni a cui è giunto il medico SMR e ritiene che non è stato oggettivato un peggioramento dello stato di salute del ricorrente, né dal profilo psichico né dal profilo somatico (va a quest’ultimo proposito ricordato che, sebbene i certificati prodotti con il ricorso siano tardivi, ad ogni buon conto essi non attestano un’incapacità lavorativa). Nessun medico intervenuto ha infatti evidenziato uno stato di salute peggiore rispetto a quello accertato durante la procedura di revisione avviata nel 2010 e sfociata con la decisione di soppressione della rendita del 2012. Accertato come con la nuova domanda di prestazioni del 15 settembre 2014 non è stato in alcun modo reso verosimile che il grado d'invalidità si è modificato in misura rilevante per il diritto alla rendita, né è stato validamente fatto riferimento a mezzi di prova non ancora prodotti o da richiedere dall'amministrazione atti a rendere verosimile l'asserita modifica, è a giusta ragione che l'Ufficio AI non è entrato nel merito della richiesta di prestazioni dell'assicurato. In queste condizioni, la decisione di non entrata in materia va confermata e il ricorso respinto. 8.   Per quanto concerne, infine, la richiesta ricorsuale in via subordinata di fare esperire una “ perizia arbitrale in caso di dubbio ”, alla luce della giurisprudenza esposta la stessa non può condurre all ' erezione di una perizia (pluridisciplinare) da parte dell ' amministrazione e/o ordinata da questo Tribunale come perizia superpartes , visto che da una parte è già stato reso verosimile, a mano della documentazione prodotta in sede amministrativa, che non v'è stata una modifica rilevante del suo stato di salute; d’altra parte, si tratterebbe inoltre di mezzi di prova emersi successivamente alla nuova richiesta di prestazioni di invalidità e quindi, per definizione, tardivi. 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