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32.2015.30 vom 21. Januar 2015</w:t>
      </w:r>
    </w:p>
    <w:p>
      <w:r>
        <w:t>TI Tribunale d'appello, 2015-01-21, IT</w:t>
      </w:r>
    </w:p>
    <w:p>
      <w:r>
        <w:rPr>
          <w:b/>
        </w:rPr>
        <w:t xml:space="preserve">Quelle: </w:t>
      </w:r>
      <w:r>
        <w:t>https://mcp.opencaselaw.ch/entscheid/ti_gerichte_32.2015.30</w:t>
      </w:r>
    </w:p>
    <w:p>
      <w:r>
        <w:t>FR: TI_GERICHTE 32.2015.30 du 21 janvier 2015</w:t>
      </w:r>
    </w:p>
    <w:p>
      <w:r>
        <w:t>IT: TI_GERICHTE 32.2015.30 del 21 gennaio 2015</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2.2.Per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RCC1992 pag. 180; ZAK 1984 pag. 342, 607; STFA del 29 settembre 1998 nella causa S. F., I 148/98, pag. 10 consid. 3b; Locher, Grundriss des Sozialversicherungsrecht, Berna 2003, pag. 128).</w:t>
      </w:r>
    </w:p>
    <w:p>
      <w:r>
        <w:t>L'Alta Corte ha inoltre avuto modo di precisare che:</w:t>
      </w:r>
    </w:p>
    <w:p>
      <w:r>
        <w:t>"()</w:t>
      </w:r>
    </w:p>
    <w:p>
      <w:r>
        <w:t>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w:t>
      </w:r>
    </w:p>
    <w:p>
      <w:r>
        <w:t>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w:t>
      </w:r>
    </w:p>
    <w:p>
      <w:r>
        <w:t>In una sentenza I 384/06 del 4 luglio 2007, il Tribunale federale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(STF I 384/06 del 4 luglio 2007).</w:t>
      </w:r>
    </w:p>
    <w:p>
      <w:r>
        <w:t>2.3.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bensi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cosi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2.4.   Nella decisione del 21 gennaio 2015, lamministrazione ha negato la richiesta di prestazioni dellassicurata fondandosi, dal profilo medico, sulla perizia pluridisciplinare SAM del 24 ottobre 2014 (doc. AI 40-1).</w:t>
      </w:r>
    </w:p>
    <w:p>
      <w:r>
        <w:t>In tale ambito i medici del SAM hanno valutato la patologia psichiatrica (Dr. __________), quella reumatologica (Dr. __________), quella neurologica (Dr. __________) e quella cardiologica (Dr. __________).</w:t>
      </w:r>
    </w:p>
    <w:p>
      <w:r>
        <w:t>Globalmente, nel rapporto peritale del 24 ottobre 2014, i medici del SAM, sulla base delle risultanze dei singoli consulti e delle visite ambulatoriali della ricorrente presso il citato centro daccertamento, hanno posto la seguente diagnosiconinfluenza sulla capacità lavorativa:</w:t>
      </w:r>
    </w:p>
    <w:p>
      <w:r>
        <w:t>()</w:t>
      </w:r>
    </w:p>
    <w:p>
      <w:r>
        <w:t>()</w:t>
      </w:r>
    </w:p>
    <w:p>
      <w:r>
        <w:t>Quanto alla capacità lavorativa medico-teorica globale, i medici del SAM hanno ritenuto lassicurata abile al lavoro nella misura del 70% sia nellultima attività di consulente immobiliare che in attività adeguate (doc. AI 40-20+21+22).</w:t>
      </w:r>
    </w:p>
    <w:p>
      <w:r>
        <w:t>2.5.2. Per quanto riguarda la patologia neurologica, lassicurata è stata sottoposta a una valutazione specialistica da parte del Dr. __________, spec. FMH in neurologia, il quale in data 7 ottobre 2014 non ha posto alcuna diagnosi con influsso sulla capacità lavorativa, mentre senza influsso ha indicato una sindrome lombovertebrale cronica senza deficit neurologici associati (doc. AI 40-44).</w:t>
      </w:r>
    </w:p>
    <w:p>
      <w:r>
        <w:t>Dal punto di vista neurologico, lassicurata è ritenuta abile al lavoro al 100% in ogni attività (doc. AI 40-45).</w:t>
      </w:r>
    </w:p>
    <w:p>
      <w:r>
        <w:t>Il TCA non ha motivo per distanziarsi da questa valutazione peritale, che non è del resto stata smentita da certificati medico-specialistici attestanti delle patologie maggiormente invalidanti, in grado di influire sulla capacità lavorativa residua dellinteressata.</w:t>
      </w:r>
    </w:p>
    <w:p>
      <w:r>
        <w:t>2.5.4. Per quanto riguarda infine la patologia psichiatrica, lassicurata è stata sottoposta a una valutazione specialistica da parte del Dr. __________, spec. FMH in psichiatria e psicoterapia, il quale nel rapporto dell8 ottobre 2014 ha posto la diagnosi psichiatrica di Sindrome del disadattamento cronico sfociata in distimia (ICD10-34.1) e tendenza alla fobia sociale (ICD10-F40.1). Disturbo del comportamento alimentare (ICD10-F50.8)(doc. AI 40-33).</w:t>
      </w:r>
    </w:p>
    <w:p>
      <w:r>
        <w:t>A mente del Dr. __________, i disturbi affettivi, fobici sociali e alimentari rientrano in una più globale problematica del disadattamento di tipo cronico che persiste da anni e comporta unincapacità al lavoro del 30% in ogni attività.</w:t>
      </w:r>
    </w:p>
    <w:p>
      <w:r>
        <w:t>Il perito ha sottolineato di non aver riscontrato i criteri costitutivi di una sindrome depressiva ricorrente nello stadio di sviluppo descritta dal medico curante, Dr. __________, in quanto in questo momento risulta solo parzialmente scemata (doc. AI 40-33+34+35).</w:t>
      </w:r>
    </w:p>
    <w:p>
      <w:r>
        <w:t>Le limitazioni funzionali  sempre secondo il Dr. __________  non toccano tanto le facoltà cognitive dellassicurata quanto piuttosto la capacità di investire le sue risorse nella realtà circostante a causa delle sue difficoltà ad entrare in relazione con gli altri e a dare coerenza e continuità allattuazione dei suoi propositi (doc. AI 40-34).</w:t>
      </w:r>
    </w:p>
    <w:p>
      <w:r>
        <w:t>La ricorrente, da parte sua, ha prodotto un primo rapporto del 13 gennaio 2015 del Dr. __________, spec. FMH in psichiatria e psicoterapia, che ha preso posizione sul referto peritale del Dr. __________.</w:t>
      </w:r>
    </w:p>
    <w:p>
      <w:r>
        <w:t>Dalla descrizione dei sintomi esposta dal perito, il medico curante ha dedotto quanto segue:</w:t>
      </w:r>
    </w:p>
    <w:p>
      <w:r>
        <w:t>()</w:t>
      </w:r>
    </w:p>
    <w:p>
      <w:r>
        <w:t>2.5.5.   Alla luce di tutto quanto sopra esposto, questo Tribunale non ha ragioni per scostarsi dalle conclusioni del perito del SAM, per i motivi che seguono.</w:t>
      </w:r>
    </w:p>
    <w:p>
      <w:r>
        <w:t>Ad esempio in una sentenza 9C_294/2008 del 19 marzo 2009, il Tribunale federale ha sviluppato le seguenti considerazionia proposito della distimia:</w:t>
      </w:r>
    </w:p>
    <w:p>
      <w:r>
        <w:t>4.2 Inquesto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w:t>
      </w:r>
    </w:p>
    <w:p>
      <w:r>
        <w:t>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w:t>
      </w:r>
    </w:p>
    <w:p>
      <w:r>
        <w:t>Nella sentenza cantonale 32.2007.158 del 10 marzo 2008, il TCA aveva rammentato le caratteristiche della distimia, e meglio:</w:t>
      </w:r>
    </w:p>
    <w:p>
      <w:r>
        <w:t>Si tratta di una depressione cronica del tono dell'umore, della durata di almeno alcuni anni, che non è sufficientemente grave, o nella quale i singoli episodi non sono sufficientemente prolungati da giustificare una diagnosi di sindrome depressiva ricorrente grave, di media gravità o lieve (F33.-).</w:t>
      </w:r>
    </w:p>
    <w:p>
      <w:r>
        <w:t>●  Nevrosi depressiva</w:t>
      </w:r>
    </w:p>
    <w:p>
      <w:r>
        <w:t>●  Disturbo di personalità depressivo</w:t>
      </w:r>
    </w:p>
    <w:p>
      <w:r>
        <w:t>Depressione nevrotica</w:t>
      </w:r>
    </w:p>
    <w:p>
      <w:r>
        <w:t>Depressione ansiosa persistente</w:t>
      </w:r>
    </w:p>
    <w:p>
      <w:r>
        <w:t>Esclude:depressione ansiosa (lieve o non persistente)</w:t>
      </w:r>
    </w:p>
    <w:p>
      <w:r>
        <w:t>(F41.2)</w:t>
      </w:r>
    </w:p>
    <w:p>
      <w:r>
        <w:t>Note diagnostiche</w:t>
      </w:r>
    </w:p>
    <w:p>
      <w:r>
        <w:t>Sebbene gli attuali sintomi non giustifichino una diagnosi di sindrome depressiva, una diagnosi di distimia può essere ancora posta se ciò si è verificato in passato, particolarmente dall'esordio della malattia. Il bilancio tra le singole fasi di depressione lieve e i periodi intervallari di relativa normalità è molto variabile. La distimia ha molto in comune con i concetti di nevrosi depressiva e di depressione nevrotica.</w:t>
      </w:r>
    </w:p>
    <w:p>
      <w:r>
        <w:t>DCR-10</w:t>
      </w:r>
    </w:p>
    <w:p>
      <w:r>
        <w:t>A.   Vi deve essere un periodo di almeno due anni in umore depresso costante o costantemente ricorrente. I periodi intervallari di umore normale durano raramente più di qualche settimana e non vi sono episodi ipomaniacali.</w:t>
      </w:r>
    </w:p>
    <w:p>
      <w:r>
        <w:t>B.   Nessuno, o molto pochi, degli episodi depressivi, durante tale periodo di almeno due anni, sono di gravità o durata tale da soddisfare i criteri per la sindrome depressiva ricorrente lieve (F.33.0).</w:t>
      </w:r>
    </w:p>
    <w:p>
      <w:r>
        <w:t>C.  Durante almeno alcuni dei periodi depressivi, debbono essere presenti almeno tre degli aspetti seguenti:</w:t>
      </w:r>
    </w:p>
    <w:p>
      <w:r>
        <w:t>(1)   energia o attività ridotta</w:t>
      </w:r>
    </w:p>
    <w:p>
      <w:r>
        <w:t>(2)   insonnia</w:t>
      </w:r>
    </w:p>
    <w:p>
      <w:r>
        <w:t>(3)   perdita di fiducia in se stesso o sentimenti di inadeguatezza</w:t>
      </w:r>
    </w:p>
    <w:p>
      <w:r>
        <w:t>(4)   difficoltà di concentrazione</w:t>
      </w:r>
    </w:p>
    <w:p>
      <w:r>
        <w:t>(5)   pianto frequente</w:t>
      </w:r>
    </w:p>
    <w:p>
      <w:r>
        <w:t>(6)   perdita di interesse o di piacere nell'attività sessuale e in altre attività piacevoli</w:t>
      </w:r>
    </w:p>
    <w:p>
      <w:r>
        <w:t>(7)   sentimenti di disperazione o di sconforto</w:t>
      </w:r>
    </w:p>
    <w:p>
      <w:r>
        <w:t>(8)   vissuto di incapacità di far fronte alle ordinarie responsabilità della vita quotidiana</w:t>
      </w:r>
    </w:p>
    <w:p>
      <w:r>
        <w:t>(9)   pessimismo circa il futuro o rimuginazioni sul passato</w:t>
      </w:r>
    </w:p>
    <w:p>
      <w:r>
        <w:t>(10) isolamento sociale</w:t>
      </w:r>
    </w:p>
    <w:p>
      <w:r>
        <w:t>(11) produzione verbale ridotta.</w:t>
      </w:r>
    </w:p>
    <w:p>
      <w:r>
        <w:t>Note diagnostiche</w:t>
      </w:r>
    </w:p>
    <w:p>
      <w:r>
        <w:t>Se lo si considera, si può specificare se l'esordio è stato precoce (nella tarda adolescenza o nella terza decade di vita) o tardivo (abitualmente tra i 30 o i 50 anni, dopo un episodio affettivo)."</w:t>
      </w:r>
    </w:p>
    <w:p>
      <w:r>
        <w:t>(cfr. "ICD-10. Classificazione delle sindromi e dei disturbi psichici e comportamentali". Ed. Masson, Milano 2003, pag. 136-137).</w:t>
      </w:r>
    </w:p>
    <w:p>
      <w:r>
        <w:t>Il Tribunale federale ha confermato la propria giurisprudenza in una sentenza 9C_922/2009 del 9 luglio 2010, nella quale ha approvato la decisione dellamministrazione, avallata dai primi giudici, di sopprimere, in sede di revisione, il diritto ad un quarto di rendita di invalidità del quale beneficiava unassicurata.</w:t>
      </w:r>
    </w:p>
    <w:p>
      <w:r>
        <w:t>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w:t>
      </w:r>
    </w:p>
    <w:p>
      <w:r>
        <w:t>In concreto, il Dr. __________ ha pertinentemente e dettagliatamente indicato i motivi per cui diagnosticando una Sindrome del disadattamento cronico sfociata in distimia(ICD10-34.1) e tendenza alla fobia sociale (ICD10-F40.1). Disturbo del comportamento alimentare (ICD10-F50.8), si distanzia dalla valutazione del Dr. __________, che invece ha diagnosticatouno stato di ansia sociale significativa, una sindrome depressiva di entità media ed un disturbo del comportamento alimentare, oltre che di un disturbo compulsivo (doc. AI 40-30, A2).</w:t>
      </w:r>
    </w:p>
    <w:p>
      <w:r>
        <w:t>Entrambi gli specialisti concordano che lassicurata aveva una condizione iniziale di disadattamento. Il Dr. __________ ritiene che essa è sfociata in una condizione clinica di tipo depressivo lieve e cronico (distimia), mentre secondo il medico curante la condizione di disadattamento si è evoluta in una sindrome depressiva ricorrente di entità media (doc. AI 40-30, A2, pag. 4).</w:t>
      </w:r>
    </w:p>
    <w:p>
      <w:r>
        <w:t>A mente del Dr. __________, da un punto di vista oggettivo il lieve abbassamento del tono dellumore di tipo cronico, la riduzione della capacità di trarre piacere dalla vita, la difficoltà a sostenere il proprio ruolo nei rapporti interpersonali come indice di bassa autostima, il disturbo del comportamento alimentare e loccasionale assunzione di bevande alcoliche sono da ricondurre piuttosto ad una sindrome distimica e non a una sindrome depressiva ricorrente (doc. IV2).</w:t>
      </w:r>
    </w:p>
    <w:p>
      <w:r>
        <w:t>Nel caso concreto, le consultazioni con il medico psichiatra Dr. __________  iniziate nel mese di luglio 2013  avvengono una sola volta la mese (cfr. perizia Dr. __________, doc. AI 40-31). Inoltre il perito, nella propria valutazione ha fatto riferimento alla terapia psicofarmacologica a base di fluoxetina (due capsule al mattino) e quetiapina (25 mg alla sera) (perizia Dr. __________, doc. AI 40-31).</w:t>
      </w:r>
    </w:p>
    <w:p>
      <w:r>
        <w:t>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w:t>
      </w:r>
    </w:p>
    <w:p>
      <w:r>
        <w:t>Ad esempio, nella sentenza 9C_289/2007 del 29 gennaio 2008 il Tribunale federale ha sottolineato che:</w:t>
      </w:r>
    </w:p>
    <w:p>
      <w:r>
        <w:t>"(...)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w:t>
      </w:r>
    </w:p>
    <w:p>
      <w:r>
        <w:t>In conclusione, rispecchiando la perizia SAM i criteri di affidabilità e completezza richiesti dalla giurisprudenza (cfr. consid. 2.3.), alla stessa può essere fatto riferimento.</w:t>
      </w:r>
    </w:p>
    <w:p>
      <w:r>
        <w:t>Inoltre, richiamato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sociali,che lassicurata è inabile al lavoro al 30% in qualsiasi attività, a partire dal mese di luglio 2013.</w:t>
      </w:r>
    </w:p>
    <w:p>
      <w:r>
        <w:t>2.7.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w:t>
      </w:r>
    </w:p>
    <w:p>
      <w:r>
        <w:t>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w:t>
      </w:r>
    </w:p>
    <w:p>
      <w:r>
        <w:t>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w:t>
      </w:r>
    </w:p>
    <w:p>
      <w:r>
        <w:t>Questo dato deve essere aggiornato dal TCA al 2014.</w:t>
      </w:r>
    </w:p>
    <w:p>
      <w:r>
        <w:t>Utilizzando i dati forniti dalla tabella TA1 2012 categoria 1, attività semplici di tipo fisico o manuale, si ottiene un importo mensile di fr. 4112.-- che riportato su 41.7 ore corrisponde a fr. 4'286.76 al mese, pari a fr. 51'441.12 allanno che aggiornati al 2014 sono fr. 52'215.60(+0,7% per il 2013, + 0,8% per il 2014).</w:t>
      </w:r>
    </w:p>
    <w:p>
      <w:r>
        <w:t>Dopo adeguamento all'indice dei salari nominali ("Nominallohnindex"- cfr. DTF 126 V 81 consid. 7a e STCA del 20 febbraio 2001 nella causa R.), si ottiene, per il 2014 (cfr. la stima trimestrale dellevoluzione dei salari nominali dellUfficio federale di statistica), un reddito mensile di fr. 4'351.30 oppure di fr. 52'215.60(+0,7% per il 2013, + 0,8% per il 2014).</w:t>
      </w:r>
    </w:p>
    <w:p>
      <w:r>
        <w:t>essere applicata la riduzione percentuale sul reddito statistico da invalido, argomentando: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