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32.2015.160 vom 1. Oktober 2015</w:t>
      </w:r>
    </w:p>
    <w:p>
      <w:r>
        <w:t>TI Tribunale d'appello, 2015-10-01, IT</w:t>
      </w:r>
    </w:p>
    <w:p>
      <w:r>
        <w:rPr>
          <w:b/>
        </w:rPr>
        <w:t xml:space="preserve">Quelle: </w:t>
      </w:r>
      <w:r>
        <w:t>https://mcp.opencaselaw.ch/entscheid/ti_gerichte_32.2015.160</w:t>
      </w:r>
    </w:p>
    <w:p>
      <w:r>
        <w:t>FR: TI_GERICHTE 32.2015.160 du 1 octobre 2015</w:t>
      </w:r>
    </w:p>
    <w:p>
      <w:r>
        <w:t>IT: TI_GERICHTE 32.2015.160 del 1 ottobre 2015</w:t>
      </w:r>
    </w:p>
    <w:p>
      <w:pPr>
        <w:pStyle w:val="Heading2"/>
      </w:pPr>
      <w:r>
        <w:t>Erwägungen</w:t>
      </w:r>
    </w:p>
    <w:p>
      <w:r>
        <w:rPr>
          <w:b/>
        </w:rPr>
        <w:t>E. 28</w:t>
      </w:r>
    </w:p>
    <w:p>
      <w:r>
        <w:t>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w:t>
      </w:r>
    </w:p>
    <w:p>
      <w:r>
        <w:t>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w:t>
      </w:r>
    </w:p>
    <w:p>
      <w:r>
        <w:t>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t>2.2.Per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w:t>
      </w:r>
    </w:p>
    <w:p>
      <w:r>
        <w:rPr>
          <w:b/>
        </w:rPr>
        <w:t>E. 29</w:t>
      </w:r>
    </w:p>
    <w:p>
      <w:r>
        <w:t>giugno 2004 nella causa T., I 299/03).</w:t>
      </w:r>
    </w:p>
    <w:p>
      <w:r>
        <w:t>Al riguardo cfr. STCA 32.2005.83 del 20 febbraio 2006, massimata in RtiD II-2006 N. 39 pag. 182.</w:t>
      </w:r>
    </w:p>
    <w:p>
      <w:r>
        <w:t>2.3.   Lart. 17 cpv. 1 LPGA stabilisce che:</w:t>
      </w:r>
    </w:p>
    <w:p>
      <w:r>
        <w:t>"Se il grado dinvalidità del beneficiario della rendita subisce una notevole modificazione, per il futuro la rendita è aumentata o ridotta proporzionalmente o soppressa, dufficio o su richiesta."</w:t>
      </w:r>
    </w:p>
    <w:p>
      <w:r>
        <w:t>I principi giurisprudenziali sviluppati in materia di revisione di rendite sotto il regime del vecchio art. 41 LAI sono applicabili anche a proposito dellart. 17 LPGA (DTF 130 V 349 seg. consid. 3.5).</w:t>
      </w:r>
    </w:p>
    <w:p>
      <w:r>
        <w:t>Una diversa valutazione di uno stato di fatto rimasto invariato ed inizialmente approfonditamente esaminato non costituisce né un caso di revisione, né un caso di riconsiderazione (cfr. STFA I 8/04 del 12 ottobre 2005 pubblicata in plaidoyer 1/06, pag. 64-65).</w:t>
      </w:r>
    </w:p>
    <w:p>
      <w:r>
        <w:t>2.4.Per poter graduare l'invalidità, l'amministrazione (o il giudice in caso di ricorso) deve disporre di documenti che devono essere rassegnati dal medico o eventualmente da altri specialisti.</w:t>
      </w:r>
    </w:p>
    <w:p>
      <w:r>
        <w:t>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2008;DTF 125 V 256consid.4 pag. 261;115 V 133consid. 2 pag. 134;114 V 310consid. 3c pag. 314;105 V 156consid.1 pag. 158). Spetta in seguito al consulente professionale, avuto riguardo alle indicazioni sanitarie, valutare quali attività professionali siano concretamente ipotizzabili (Meyer-Blaser, Rechtsprechung des Bundesgerichts zum IVG, pag. 228 seg.).</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1c;Meyer-Blaser, Die Rechtspflege in der Sozialversicherung, BJM 1989 pag. 31; Pratique VSI 3/1997 pag. 123), bensì il suo contenuto (DTF 122 V 160 in fine con rinvii).</w:t>
      </w:r>
    </w:p>
    <w:p>
      <w:r>
        <w:t>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iur.Jörg Paul Müller e del Dr. iur. Johannes Reich dell11 febbraio 2010.</w:t>
      </w:r>
    </w:p>
    <w:p>
      <w:r>
        <w:t>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w:t>
      </w:r>
    </w:p>
    <w:p>
      <w:r>
        <w:t>(a livello amministrativo)</w:t>
      </w:r>
    </w:p>
    <w:p>
      <w:r>
        <w:t>- assegnazione a caso dei mandati di perizia ai SAM (consid. 3.1),</w:t>
      </w:r>
    </w:p>
    <w:p>
      <w:r>
        <w:t>- differenze minime delle tariffe della perizia (consid. 3.2),</w:t>
      </w:r>
    </w:p>
    <w:p>
      <w:r>
        <w:t>- miglioramento e uniformizzazione dei criteri di qualità e di controllo (consid. 3.3),</w:t>
      </w:r>
    </w:p>
    <w:p>
      <w:r>
        <w:t>- rafforzamento dei diritti di partecipazione:</w:t>
      </w:r>
    </w:p>
    <w:p>
      <w:r>
        <w:t>-- in caso di divergenze lamministrazione deve ordinare la perizia attraverso una decisione incidentale impugnabile davanti al Tribunale cantonale delle assicurazioni o al Tribunale federale amministrativo (consid. 3.4.2.6; cambiamento della giurisprudenza secondo DTF 132 V 93);</w:t>
      </w:r>
    </w:p>
    <w:p>
      <w:r>
        <w:t>-- alla persona assicurata spettano precedentemente i diritti di partecipazione alla procedura (ad esempio: quello di esprimersi sui quesiti peritali; consid. 3.4.2.9; cambiamento della giurisprudenza secondo DTF 133 V 446);</w:t>
      </w:r>
    </w:p>
    <w:p>
      <w:r>
        <w:t>(a livello dellautorità giudiziaria di prima istanza)</w:t>
      </w:r>
    </w:p>
    <w:p>
      <w:r>
        <w:t>In caso di accertata necessità di ulteriori chiarimenti, il Tribunale cantonale o il Tribunale federale amministrativo devono per principio essi stessi ordinare una perizia medica (consid. 4.4.1.3 e 4.4.1.4; cambiamento della giurisprudenza secondo DLA 1997</w:t>
      </w:r>
    </w:p>
    <w:p>
      <w:r>
        <w:t>Nr. 18 p. 85, C 85/95 consid. 5d con riferimenti, sentenza H 355/99 del 11 aprile 2000 consid. 3b), i cui costi sono posti a carico dellassicurazione invalidità (consid. 4.4.2).</w:t>
      </w:r>
    </w:p>
    <w:p>
      <w:r>
        <w:t>Lart. 72bis OAI, in vigore dal 1° marzo 2012, dedicato alle perizie mediche pluridisciplinari stabilisce al cpv. 1 che Le perizie che interessano tre o più discipline mediche sono eseguite da un centro peritale con cui l'Ufficio federale ha concluso una convenzione e al cpv. 2 che i mandati sono attribuiti con metodo aleatorio.</w:t>
      </w:r>
    </w:p>
    <w:p>
      <w:r>
        <w:t>Per mettere in pratica quanto prescritto allart. 72bis cpv.2 OAI lUFAS ha allestito il sistema di attribuzione Suisse MED@P (cfr. R. Kocher, SuisseMed@P a deux ans: où en sommes-nous? in Sécurité sociale 5/2014, pag. 288 e seg.; vedi DTF 138 V 271).</w:t>
      </w:r>
    </w:p>
    <w:p>
      <w:r>
        <w:t>In una sentenza pubblicata in DTF 140 V 508, consid. 3.1 e 3.2.1. il Tribunale federale ha ribadito che la scelta del perito in ambito di perizie mediche pluridisciplinari deve sempre avvenire secondo il metodo aleatorio (vedi pure DTF 139 V 349 consid. 5.2.1; DTF 138 V 271 consid. 1.1.).</w:t>
      </w:r>
    </w:p>
    <w:p>
      <w:r>
        <w:t>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w:t>
      </w:r>
    </w:p>
    <w:p>
      <w:r>
        <w:t>La giurisprudenza federale sottolinea così costantemente la necessità di tenere conto della differenza, a livello probatorio, tra mandato di cura e mandato peritale (cfr. STF 9C_697/2013 del 15 novembre 2013 consid. 3.2.;9C_721/2012 del 24 ottobre 2012 consid. 4.4. con riferimenti;9C_457/2012 del 28 agosto 2012, consid. 6.2.).</w:t>
      </w:r>
    </w:p>
    <w:p>
      <w:r>
        <w:t>Il Tribunale federale ha comunque già avuto modo di sottolineare che non va dimenticata la potenziale forza dei rapporti del medico curante, alla luce del fatto che questultimo ha loccasione di osservare il paziente durante un periodo di tempo prolungato (cfr. Pladoyer 3/09 p. 74 e sentenza 9C_468/2009 del 9 settembre 2009, consid.3.3.1; D. Cattaneo, in Les expertises en droit des assurances sociales, in Cahiers genevois et romands de sécurité sociale n° 44-2010 pag. 124).</w:t>
      </w:r>
    </w:p>
    <w:p>
      <w:r>
        <w:t>Questa giurisprudenza viene applicata da questo Tribunale (cfr. ad esempio sentenza 32.2013.183 del 20 ottobre 2014, attualmente pendente davanti al Tribunale federale; sentenza 32.2012.185 del 14 febbraio 2013; sentenza 32.2011.326 del 31 maggio 2012; sentenza 32.2011.200 del 19 gennaio 2012; sentenza 32.2010.308 del 19 maggio 2011; sentenza 32.2010.137 del 21 marzo 2011) e dal Tribunale amministrativo federale (cfr. sentenza C-2693/2007 del 5 dicembre 2008).</w:t>
      </w:r>
    </w:p>
    <w:p>
      <w:r>
        <w:t>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2.5. Nella decisione del 1° ottobre 2015, riprendendo quanto già indicato nelle motivazioni indicate nel progetto di decisione del 28 maggio 2015, lamministrazione ha attribuito allassicurato una rendita intera dinvalidità dal 1° dicembre 2013 al 28 febbraio 2015, poi soppressa, ritenuto che dalla valutazione medica peritale svolta dal dr. __________ in ambito LAINF, seguita da un raffronto dei redditi, è emerso che linteressato non presentava più, dopo tale data, un grado di invalidità pensionabile.</w:t>
      </w:r>
    </w:p>
    <w:p>
      <w:r>
        <w:t>Il TCA è, quindi, ora chiamato a valutare, alla luce di quanto esposto ai considerandi 2.2. e 2.3., se lUfficio AI ha correttamente o meno soppresso la rendita spettante a RI 1 a far tempo dal 1° marzo 2015.</w:t>
      </w:r>
    </w:p>
    <w:p>
      <w:r>
        <w:t>2.6.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al guadagno (DTF 131 V 120).</w:t>
      </w:r>
    </w:p>
    <w:p>
      <w:r>
        <w:t>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w:t>
      </w:r>
    </w:p>
    <w:p>
      <w:r>
        <w:t>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w:t>
      </w:r>
    </w:p>
    <w:p>
      <w:r>
        <w:t>In una decisione U183/98 dell'8 luglio 1999, il TFA ha stabilito che l'assicuratore infortuni non deve scostarsi dalla valutazione dell'assicuratore AI, fintanto che quest'ultimo si fonda su un'istruzione approfondita, sia dal profilo medico che dal punto di vista professionale. Infine, gli organi dell'assicurazione invalidità non sono vincolati e devono scostarsi dalla valutazione dallassicuratore infortuni, allorquando, ad esempio, quest'ultimo abbia tralasciato di operare un raffronto dei redditi (AHI-Praxis 1998 p. 170).</w:t>
      </w:r>
    </w:p>
    <w:p>
      <w:r>
        <w:t>L'aspetto del coordinamento è in seguito stato relativizzato in successive sentenze nelle quali il Tribunale federale ha ritenuto non vincolante la valutazione dell'invalidità da parte dell'assicurazione infortuni o dell'assicurazione invalidità per l'altro assicuratore (DTF 131 V 362; VSI 2004 pag. 182 consid. 4.3 pag. 186 [I 564/02]; cfr. inoltre pure la sentenza U 148/06 del 28 agosto 2007, consid. 6, pubblicata in DTF 133 V 549).</w:t>
      </w:r>
    </w:p>
    <w:p>
      <w:r>
        <w:t>LAlta Corte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w:t>
      </w:r>
    </w:p>
    <w:p>
      <w:r>
        <w:t>Il medesimo principio vale anche nei confronti dellUfficio AI con riferimento alla valutazione effettuata dallassicuratore infortuni (STF U 148/2006 del 28 agosto 2007, pubblicata in DTF 133 V 549).</w:t>
      </w:r>
    </w:p>
    <w:p>
      <w:r>
        <w:t>Successivamente il Tribunale federale ha ancora ribadito che, lassicurazione per linvaliditànon è vincolataalla valutazione dellinvalidità dellassicurazione contro gli infortuni (cfr. STF 9C_529/2010 del 24 gennaio 2011; DTF 133 V 549 consid. 6).</w:t>
      </w:r>
    </w:p>
    <w:p>
      <w:r>
        <w:t>2.7.Dal punto di vista medico, nel rapporto finale del 22 maggio 2015, il dr. __________ del SMR ha considerato che, nel caso di specie, lassicurato presenti unicamente delle patologie di origine infortunistica, ponendo le seguenti diagnosi con influsso sulla capacità lavorativa:</w:t>
      </w:r>
    </w:p>
    <w:p>
      <w:r>
        <w:t>La patrocinatrice del ricorrente ha contestato le conclusioni alle quali è giunto il medico del SMR, con riferimento alla percentuale di abilità lavorativa in attività adeguate, rilevando come le stesse si siano fondate unicamente sulla valutazione peritale eseguita in ambito LAINF da parte del dr. __________, senza tuttavia tener conto del fatto che, in una più recente certificazione del 24 marzo 2015, il medico curante, dr. __________, ha considerato linteressato inabile al lavoro nella misura del 30% nellesercizio di attività adatte (cfr. doc. R1).</w:t>
      </w:r>
    </w:p>
    <w:p>
      <w:r>
        <w:t>Chiamato a pronunciarsi, il TCA, per i motivi che meglio verranno illustrati qui di seguito, non ha motivo per distanziarsi da queste considerazioni del medico del SMR.</w:t>
      </w:r>
    </w:p>
    <w:p>
      <w:r>
        <w:t>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w:t>
      </w:r>
    </w:p>
    <w:p>
      <w:r>
        <w:t>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w:t>
      </w:r>
    </w:p>
    <w:p>
      <w:r>
        <w:t>2.10.1.   La decisione litigiosa è stata emanata il 1° ottobre 2015 e pertanto il reddito da invalido va stabilito facendo capo alledizione 2012 della Tabella TA1 (cfr. considerando 2.10.).</w:t>
      </w:r>
    </w:p>
    <w:p>
      <w:r>
        <w:t>Riportando questo dato su 41.7 ore (cfr. dati pubblicati sul sito web dellUFS; a questo proposito, si veda la STF 8C_480/2010 del 10 marzo 2012 consid. 3.1.1), esso ammonta a fr. 5'431.42 mensili oppure a fr. 65'177.04 per l'intero anno (fr. 5'431.42 x 12).</w:t>
      </w:r>
    </w:p>
    <w:p>
      <w:r>
        <w:t>Considerata un'esigibilità dell85%, il reddito da invalido corrisponde a fr. 56'459.60.</w:t>
      </w:r>
    </w:p>
    <w:p>
      <w:r>
        <w:t>2.10.2.Secondo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w:t>
      </w:r>
    </w:p>
    <w:p>
      <w:r>
        <w:t>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w:t>
      </w:r>
    </w:p>
    <w:p>
      <w:r>
        <w:t>2.10.3.   LUfficio AI non ha apportatoalcunariduzionepercentuale (cfr. doc. 82/2-3).</w:t>
      </w:r>
    </w:p>
    <w:p>
      <w:r>
        <w:t>Il TCA che, di massima, non può senza motivi pertinenti sostituire il proprio apprezzamento a quello dellamministrazione (cfr. DTF 137 V 71, consid. 5.2) non ha motivo di scostarsi da tale valutazione dellamministrazione.</w:t>
      </w:r>
    </w:p>
    <w:p>
      <w:r>
        <w:t>Va, infatti, rilevato che la giurisprudenza federale ha già, più volte, avuto modo di ricordare che per lo svolgimento delle attività semplici e ripetitive di cui al livello 4 delle RSS nelle versioni fino al 2010 (equivalenti al livello 1 delle RSS 2012) eventuali lacune scolastiche o linguistiche non giustificano una riduzione del reddito da invalido (cfr., tra le tante, STF 8C_594/2011 del 20 ottobre 2011, consid. 58C_17/2011 del 21 aprile 2011, consid. 6.2.)</w:t>
      </w:r>
    </w:p>
    <w:p>
      <w:r>
        <w:t>Inoltre, come giustamente indicato dallamministrazione, va sottolineato che le prestazioni dellAI servono a compensare lincapacità al guadagno derivante dal danno alla salute e non per eliminare eventuali lacune linguistiche (cfr. STF I 381/06 del 30 aprile 2007), le quali, del resto, sono state prese in considerazione dallamministrazione nellambito dei provvedimenti di intervento tempestivo attraverso il finanziamento di lezioni di italiano e, daltra parte, non hanno impedito allassicurato di comunque trovare nel 2008 e conservare ancora tuttoggi un lavoro quale tuttofare - e oltretutto molto ben retribuito  comprendente, come risulta dal referto peritale del dr. __________, attività per la sicurezza; per la logistica, pulizia e controllo merci e, in misura minore, per organizzazione eventi e concerti (cfr. doc. 72-119).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