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32.2015.148 vom 7. September 2015</w:t>
      </w:r>
    </w:p>
    <w:p>
      <w:r>
        <w:t>TI Tribunale d'appello, 2015-09-07, IT</w:t>
      </w:r>
    </w:p>
    <w:p>
      <w:r>
        <w:rPr>
          <w:b/>
        </w:rPr>
        <w:t xml:space="preserve">Quelle: </w:t>
      </w:r>
      <w:r>
        <w:t>https://mcp.opencaselaw.ch/entscheid/ti_gerichte_32.2015.148</w:t>
      </w:r>
    </w:p>
    <w:p>
      <w:r>
        <w:t>FR: TI_GERICHTE 32.2015.148 du 7 septembre 2015</w:t>
      </w:r>
    </w:p>
    <w:p>
      <w:r>
        <w:t>IT: TI_GERICHTE 32.2015.148 del 7 settembre 2015</w:t>
      </w:r>
    </w:p>
    <w:p>
      <w:pPr>
        <w:pStyle w:val="Heading2"/>
      </w:pPr>
      <w:r>
        <w:t>Regeste</w:t>
      </w:r>
    </w:p>
    <w:p>
      <w:r>
        <w:t>Sulla sola base degli atti non é possibile confermare la soppressione del diritto alla rendita intera in via di revisione. Rinvio atti per accertamenti medici. Effetto della revoca dell'effetto sospensivo nella nuova procedura di accertamento</w:t>
      </w:r>
    </w:p>
    <w:p>
      <w:pPr>
        <w:pStyle w:val="Heading2"/>
      </w:pPr>
      <w:r>
        <w:t>Erwägungen</w:t>
      </w:r>
    </w:p>
    <w:p>
      <w:r>
        <w:rPr>
          <w:b/>
        </w:rPr>
        <w:t>E. 1</w:t>
      </w:r>
    </w:p>
    <w:p>
      <w:r>
        <w:t>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2.4.   Se il grado d’invalidità del beneficiario della rendita subisce una notevole modificazione, per il futuro la rendita è aumen-tata o ridotta proporzionalmente o soppressa, d’ufficio o su ri-chiesta (art. 17 cpv. 1 LPGA).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subìto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é,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w:t>
      </w:r>
    </w:p>
    <w:p>
      <w:r>
        <w:rPr>
          <w:b/>
        </w:rPr>
        <w:t>E. 2</w:t>
      </w:r>
    </w:p>
    <w:p>
      <w:r>
        <w:t>con riferimenti, 109 V 262, 105 V 30; in argomento vedi anche Meyer/Reichmuth, Rechtsprechung des Bundesgerichts zum IVG, 2014, ad art. 30/31, pag.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2.5.   Nell’evenienza concreta, l’Ufficio AI, in evasione della revisione intrapresa nel maggio 2013, con la decisione del 7 settembre 2015 ha soppresso il diritto alla rendita intera d’invali-dità con effetto dal 1. novembre 2015 (doc. AI 148/1-3). Contestualmente l’amministrazione – fondandosi sulla relazione del 16 dicembre 2013 (doc. 27/1-12 dell’incarto LAINF, all’attenzione dell’assicuratore infortuni) nella quale il dr. __________, FMH in chirurgia e in medicina generale e esperto in medicina infortunistica, (circa la capacità lavorativa, gli impedimenti e l’esigibilità) ha espresso la seguente valutazione: “(…) Alla luce delle presenti conclusioni, il signor RI 1 viene dichiarato abile al lavoro nella misura massima possibile a partire dal 1.3.2014. […] Il signor RI 1, a seguito dei postumi infortunistici, può lavorare in misura completa in mansioni confacenti, ossia alternando la posizione da eretta a seduta, evitando di deambulare per lunghi tragitti (oltre 500-800 metri di fila) specie se portanti pesi superiore ai 10-12 kg. e senza inginocchiarsi od accovacciarsi. Inoltre non è consigliabile salire e scendere ripetitivamente le scale, cioè non più di 2-3 rampe di scale per due volte ogni ora. Non vi sono limitazioni per quanto riguarda l’utilizzo degli arti superiori o del tratto vertebrale. Questa capacità lavorativa è praticabile da subito. L’ufficio competente sarà più esplicito al riguardo e stabilirà le modalità e la data di partenza di questa presa di posizione. (…)” (doc. 27/11-12 dell’incarto LAINF) e vista la decisione del 29 dicembre 2014 con la quale l’assicuratore LAINF ha negato il diritto ad una rendita dopo aver riconosciuto le prestazioni per il trattamento medico fino al 31 dicembre 2014 (doc. AI 130/1-9) – ha concluso per un’incapa-cità lavorativa totale nell’attività abituale quale cuoco/aiuto cucina e lavapiatti e per una capacità al lavoro del 100% in attività adeguate escludendo l’esistenza di patologie extra-infortunistiche. Questo Tribunale – ritenuto, da una parte che la valutazione del dr. __________ è contraddetta dalle annotazioni del 5 giugno 2015 del medico SMR dr. __________ che a sua volta rinvia a quella del 27 luglio 2010 del medico SMR dr. __________ (cfr. doc. AI 138/1, 95/1-3 e consid. 1.1) e, dall’altra parte che lo stesso dr. __________ nell’annotazione del 27 ottobre 2015 ha definito incerta l’evoluzione della problematica psichiatrica di lunga durata – concorda con l’Ufficio AI che é necessario svolgere ulteriori accertamenti medici (se del caso pluridisciplinari vista la diversità delle patologie; quanto alla valutazione globale in caso di diverse patologie e alla loro cumulabilità si rinvia qui alla STF 9C_362/2014 del 19 agosto 2014 e alla STCA inc. 32.2014.55 del 29 gennaio 2015 con riferimenti) per potersi pronunciare circa la revisione intrapresa nel maggio 2013. La proposta di rinvio degli atti all’Ufficio AI per completare l’istruttoria (cfr. consid. 1.5), condivisa nel suo principio dall’assicurato (cfr. consid. 1.6), appare dunque giustificata. 2.6.   Quanto alla valutazione economica, prematura vista la necessità di ulteriori accertamenti medici, questo Tribunale rileva quanto segue. Nella misura in cui l’Ufficio AI dovesse confermare la soppressione della rendita con effetto 1. novembre 2015, allora i redditi da valido e da invalido andranno aggiornati al 2015 (nelle tabella elaborata il 17 giugno 2015 sub doc. AI 140/1 il consulente integrazione ha considerato l’anno 2013 quale riferimento). Va puntualizzato che, conformemente alla giurisprudenza federale (DTF 129 V 370 e 106 V 18 confermate nelle STF 8C_556/2014 dell’11 dicembre 2014 consid. 3, 8C_79/2014 del 23 giugno 2014 consid. 4, 9C_207/2014 del 1. maggio 2014 consid. 5.3, 9C_519/2013 del 26 febbraio 2014 consid. 4.1 e 8C_22/2013 del 4 luglio 2013 consid. 3; tutte con riferimenti), l’effetto sospensivo, tolto nell’ambito di una decisione amministrativa con la quale il diritto alla rendita è stato ridotto e/o soppresso in via di revisione, continua (nella misura in cui con la decisione impugnata l’Ufficio AI non ha voluto provocare arbitrariamente l’inizio dell’effetto della revisione) a sussistere anche durante la nuova procedura di accertamento resasi necessaria a seguito di una decisione dell’autorità giudiziaria in questo senso. In concreto, vista la succitata giurisprudenza, questo Tribunale deve concludere che l’effetto sospensivo tolto con la decisione qui impugnata va mantenuto durante la procedura di rinvio e ciò anche perché l’insorgente non ha formulato una domanda di ripristino dello stesso. Con riferimento alla riduzione del 12% (vedi la tabella elaborata il 17 giugno 2015 con allegato sub doc. AI 140/1-3) – “(…) riduzione al reddito da invalido del/lo 7% per attività leggere e del/lo 5% per altri fattori di riduzione (…)” (doc. AI 140/3) – deve essere osservato che la giurisprudenza di questo Tribunale (cfr. STCA del 31 gennaio 2013, 32.2012.36, confermata dal TF mediante pronuncia del 26 agosto 2013, 9C_179/2013; cfr. anche le STCA 32.2014.157 del 18 settembre 2015 e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Di conseguenza il consulente in integrazione dovrà essere interpellato anche su questo argomento. 2.7.   In simili circostanze, visto tutto quanto precede, il ricorso va accolto ai sensi dei considerandi e gli atti rinviati all’ammini-strazione affinché, effettuati i necessari accertamenti medici sopra enunciati e aggiornati quelli economici, si pronunci nuovamente sulla revisione intrapresa nel maggio 2013.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 ricorrente, patrocinato dall’avv. RA 1, spetta un’indennità per ripetibili (art. 61 lett. g LPGA e art. 30 cpv. 1 Lptca). Al riguardo l’avv. RA 1 ha prodotto la sua nota d’onorario per un importo complessivo di Fr. 3'606.65 (VIII/1). L’importo delle ripetibili è determinato in base all’importanza della causa e alla complessità del procedimento (art. 61 lett. g LPGA e art. 30 cpv. 2 Lptca). Anche l’art. 11 cpv. 5 del Regolamento sulla tariffa per i casi di patrocinio d'ufficio e di assistenza giudiziaria e per la fissazione delle ripetibili (RL 3.1.1.7.1) – a cui rimanda l’art. 12 del medesimo Regolamento relativo alla tariffa oraria – fa riferimento al criterio della difficoltà e dell’importanza della lite (sulla commisurazione delle ripetibili tenendo conto dei suddetti due criteri cfr. Locher/Gächer, Grundriss des Sozialversicheungsrechts, 2014, pagg. 609-610). Nella fattispecie in esame appare giustificato riconoscere ripetibili (per onorario e spese) di complessivi fr. 2'900.-- (IVA inclusa). Tale ammontare risulta congruo, considerando il principio indagatorio vigente nel diritto delle assicurazioni sociali che allevia il lavoro del patrocinatore (DTF 114 V 87 consid. 4b, 110 V 365 consid. 3c) e il grado di difficoltà della causa in oggetto. In proposito nella STF I 50/01 del 26 ottobre 2001 la Corte federale ha stabilito che per trattare una vertenza relativa alla revisione di una rendita AI (aumento del grado d'invalidità) 6 o 7 ore di lavoro sono troppo poche, mentre 12,5 potrebbero essere troppe;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del SAM e dove non è stata indetta alcuna udienza, questo Tribunale ha ridotto da 20 ore e trenta minuti a 10 ore il tempo lavorativo del legale che si è occupato della causa. L’assegnazine di ripetibili rende priva di oggetto la domanda di assistenza giudiziaria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