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32.2015.140 vom 15. Juli 2015</w:t>
      </w:r>
    </w:p>
    <w:p>
      <w:r>
        <w:t>TI Tribunale d'appello, 2015-07-15, IT</w:t>
      </w:r>
    </w:p>
    <w:p>
      <w:r>
        <w:rPr>
          <w:b/>
        </w:rPr>
        <w:t xml:space="preserve">Quelle: </w:t>
      </w:r>
      <w:r>
        <w:t>https://mcp.opencaselaw.ch/entscheid/ti_gerichte_32.2015.140</w:t>
      </w:r>
    </w:p>
    <w:p>
      <w:r>
        <w:t>FR: TI_GERICHTE 32.2015.140 du 15 juillet 2015</w:t>
      </w:r>
    </w:p>
    <w:p>
      <w:r>
        <w:t>IT: TI_GERICHTE 32.2015.140 del 15 luglio 2015</w:t>
      </w:r>
    </w:p>
    <w:p>
      <w:pPr>
        <w:pStyle w:val="Heading2"/>
      </w:pPr>
      <w:r>
        <w:t>Regeste</w:t>
      </w:r>
    </w:p>
    <w:p>
      <w:r>
        <w:t>Assicurata con attività lucrativa a tempo parziale. A seguito della seconda domanda di prestazioni l'Uffcio le ha riconosciuto una mezza rendita. Respinta la richiesta di una rendita di grado d'invalidità maggiore. In casu nessun effetto della sentenza CEDU "di Trizio"</w:t>
      </w:r>
    </w:p>
    <w:p>
      <w:pPr>
        <w:pStyle w:val="Heading2"/>
      </w:pPr>
      <w:r>
        <w:t>Erwägungen</w:t>
      </w:r>
    </w:p>
    <w:p>
      <w:r>
        <w:rPr>
          <w:b/>
        </w:rPr>
        <w:t>E. 5</w:t>
      </w:r>
    </w:p>
    <w:p>
      <w:r>
        <w:t>2.     Alimentazione (preparare i pasti, cucinare, apparecchiare, pulire la cucina, approvvigionamento)</w:t>
      </w:r>
    </w:p>
    <w:p>
      <w:r>
        <w:rPr>
          <w:b/>
        </w:rPr>
        <w:t>E. 10</w:t>
      </w:r>
    </w:p>
    <w:p>
      <w:r>
        <w:t>5.     Bucato, manutenzione vestiti (lavare, stendere e raccogliere il bucato, stirare, rammendare, pulire le scarpe)</w:t>
      </w:r>
    </w:p>
    <w:p>
      <w:r>
        <w:t>5</w:t>
      </w:r>
    </w:p>
    <w:p>
      <w:r>
        <w:t>20</w:t>
      </w:r>
    </w:p>
    <w:p>
      <w:r>
        <w:t>6.     Accudire i figli o altri familiari</w:t>
      </w:r>
    </w:p>
    <w:p>
      <w:r>
        <w:t>0</w:t>
      </w:r>
    </w:p>
    <w:p>
      <w:r>
        <w:t>30</w:t>
      </w:r>
    </w:p>
    <w:p>
      <w:r>
        <w:t>7.     Altre attività (p.es. curare i malati, curare le piante e il giardino, tenere animali domestici, cucire abiti, lavori di volontariato, corsi di perfezionamento, attività creative)*</w:t>
      </w:r>
    </w:p>
    <w:p>
      <w:r>
        <w:t>0</w:t>
      </w:r>
    </w:p>
    <w:p>
      <w:r>
        <w:t>50</w:t>
      </w:r>
    </w:p>
    <w:p>
      <w:r>
        <w:t>* Va escluso l'impiego del tempo libero (N. 3090)."</w:t>
      </w:r>
    </w:p>
    <w:p>
      <w:r>
        <w:t>Mentre alle cifre 3087, 3088 e 3089 si legge ancora:</w:t>
      </w:r>
    </w:p>
    <w:p>
      <w:r>
        <w:t>"Il totale delle attività dev'essere sempre del 100% (Pratique VSI 1997 p. 298).</w:t>
      </w:r>
    </w:p>
    <w:p>
      <w:r>
        <w:t>Di norma, vanno applicate la ripartizione dei lavori e la valutazione dei singoli compiti di cui al N. 3086. l valori minimi e massimi servono alla parità di trattamento a livello svizzero ed offrono un margine per una valutazione realistica dei singoli casi. Un'altra valutazione può essere applicata soltanto in caso di divergenze molto forti dallo schema (RCC 1986 p. 244).</w:t>
      </w:r>
    </w:p>
    <w:p>
      <w:r>
        <w:t>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w:t>
      </w:r>
    </w:p>
    <w:p>
      <w:r>
        <w:t>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al lavoro nellambito domestico.</w:t>
      </w:r>
    </w:p>
    <w:p>
      <w:r>
        <w:t>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(DTF 133 V 509, consid. 4.2). Se non adotta i provvedimenti volti a ridurre il danno, al momento della valutazione dellinvalidità non sarà tenuto conto della diminuzione della capacità al lavoro nellambito domestico.</w:t>
      </w:r>
    </w:p>
    <w:p>
      <w:r>
        <w:rPr>
          <w:b/>
        </w:rPr>
        <w:t>E. 17</w:t>
      </w:r>
    </w:p>
    <w:p>
      <w:r>
        <w:t>LPGA (DTF 130 V 349 seg. consid. 3.5).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2.5.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parifica l'impedimento di svolgere le proprie mansioni consuete all'incapacità al guadagno (metodo specifico di calcolo dell'invalidità, SVR 1996 IV Nr. 76 p. 221 consid. 1; RCC 1986 p. 246 consid. 2b; DTF 104 V 136). In questo senso l’art. 28 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A sua volta, l'art. 27 cpv. 1 OAI precisa che per mansioni consuete di una persona senza attività lucrativa occupata nell’economia domestica s’intendono in particolare gli usuali lavori domestici, l’educazione dei figli nonché le attività artistiche e di pubblica utilità e che per mansioni consuete dei religiosi s’intende ogni attività svolta dalla comunità. L’invalidità viene così valutata sulla base di un confronto delle attività domestiche, da effettuare mediante un’inchiesta domiciliare (DTF 130 V 97; Pratique VSI 2001 p. 158 consid. 3c). Si paragona quindi l'attività svolta dall'assicurato prima della sopravvenienza del danno alla salute con quella che può svolgere posteriormente, applicando l'impegno che si può esigere da lui (RCC 1984 p. 139; Duc, Les assurances sociales en Suisse, Lausanne 1995, p. 458; Maurer, Bundessozial-versicherungsrecht, 1994, p.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2.6.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plädoyer 5/06 pag. 54 segg.; sentenza I 156/04 del 13 dicembre 2005, pubblicata in SVR 2006 IV Nr. 42 pag. 151 segg.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Ricordato che il metodo misto è previsto per le persone che esercita un’attività lucrativa e che oltre a questa conducono un’economia domestica o svolgono altre mansioni ai sensi dell’art. 8 cpv. 3 LPGA (art. 5 cpv. 1 vLAI nel tenore in vigore sino al 31 dicembre 2002), secondo giurisprudenza qualora invece la riduzione del tasso di occupazione esigibile in un’attività lucrativa senza che questo tempo libero venga consacrato alla svolgimento delle mansioni consuete è irrilevante ai fini del metodo di valutazione dell’invalidità. In quest’ultime fattispecie è applicabile il metodo ordinario (DTF 131 V 51). Nella STF 9C_178/2015 del 4 maggio 2016, destinata alla pubblicazione, ha precisato la determinazione del grado d’invalidità nel caso di persone assicurate parzialmente attive che non svolgono mansioni (cfr. sentenza citata al consid. 7.3). Infine, In una sentenza 7186_09 del 2 febbraio 2016 - non definitiva, a seguito della richiesta avanzata dalla Svizzera di un riesame della stessa da parte della Grande Camera della Corte europea dei diritti dell’uomo (cfr. STF 9C_178/2015 del 4 maggio 2016, consid. 4) - nella causa Di Trizio contro Svizzera, la seconda sezione della Corte europea dei diritti dell’uomo, chiamata a pronunciarsi in una fattispecie in cui il Tribunale Federale aveva confermato la soppressione del diritto alla rendita nel caso di un’assicurata che, dopo la nascita di due gemelli, con l’applicazione del metodo misto non raggiungeva più un grado d’invalidità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La Corte europea - ricordato che non incombe a lei di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 Secondo questo Tribunale la sentenza appena citata non ha tuttavia, per il momento, nessun effetto pratico. Innanzitutto perché quella sentenza non è definitiva in quanto la Svizzera ha sottoposto il caso alla Grande Camera. Inoltre perché spetta al Tribunale federale, che ha instaurato e sempre ribadito la sua giurisprudenza, malgrado le critiche formulate da diversi Tribunali cantonali delle assicurazioni e pure da gran parte della dottrina (cfr. U. Kieser, “Bemessung der Invalidität bei teilerwerbstätigen Personen. Art. 14 EMRK i Vb. m. Art. 8 EMRK” in AJP/PJA 3/2016 pag. 384 seg, 385 n. 2; S. Leuzinger-Naef , “Gesetzgeberischer Handlungsbedarf  beim Bundesgerichtsgesetz” in plädoyer 2/16 pag. 39 seg., 42) eventualmente modificarla. Molto più verosimilmente, per trovare una soluzione adeguata al problema, occorrerà un intervento del Parlamento federale, attraverso una modifica della LAI, o del Consiglio federale, mediante una modifica dell’OAI (cfr. Consiglio federale “Assurance-invalidité: évaluation du taux d’invalidité des personnes travaillant à temps partiel”, in particolare la conclusione a pag. 31-32). 2.7.   Ritornando al caso concreto, per quel che concerne la incontestata parte salariata, esercitata dall’assicurata senza il danno alla salute nella misura dell’80%, è incontestato che sulla scorta del rapporto finale 22 luglio 2014 del SMR, allestito sulla base della documentazione medica raccolta, l’assicurata è da ritenere totalmente inabile in qualsiasi professione dal 2 marzo 2013, ma abile al 60% in attività adeguate a decorrere dal 1° febbraio 2014 (doc. AI 107). 2.7.1.   Riguardo al reddito da valida, rimasto incontestato, l’Ufficio AI ha preso in considerazione un salario di fr. 46’016.--, corrispondente a quanto l’insorgente avrebbe potuto percepire senza il danno alla salute presso la Clinica __________ con un pensum lavorativo dell’80% aggiornato al 2013 in fr. 49'462,40 (cfr. annotazioni 17 marzo 2015 del consulente IP; doc. AI 123). 2.7.2.   Per quel che concerne il reddito da invalida,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8C_695/2015 del 19 novembre 2015, il Tribunale federale ha applicato, per la determinazione dei redditi da raffrontare, l’edizione 2012 della rilevazione della struttura dei salari (RSS), senza alcuna particolare riserva (si vedano pure, ad esempio, le sentenze UV.2014.00277 del 31 agosto 2015 consid. 3.2.2 del Tribunale delle assicurazioni del Canton Zurigo e 200 2015 853 del 17 dicembre 2015 consid. 4.6.2 del Tribunale amministrativo del Canton Berna). In una sentenza 9C_767/2015 del 19 aprile 2016 al consid. 3.4, il Tribunale federale ha confermato l'applicazione da parte del Tribunale amministrativo federale, per la determinazione dei redditi da raffrontare, dell'edizione 2010 della rilevazione della struttura dei salari (RSS), considerato che la decisione amministrativa litigiosa era stata emessa il 4 gennaio 2013 e l'UAIE non poteva pertanto disporre dei dati del 2012, la cui pubblicazione era avvenuta solo nel corso del mese di ottobre 2014 (cfr. lettera circolare AI n. 328 dell'Ufficio federale delle assicurazioni sociali, UFAS, del 22 ottobre 2014), consolidando così la giurisprudenza secondo la quale sono determinanti i dati statistici più attuali a disposizione al momento della decisione di rendita (cfr. STF 8C_78/2015 del 10 luglio 2015 consid 4 e 9C_526/2015 dell'11 settembre 2015 consid. 3.2.2).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Infine,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Nel caso di specie, conformemente alla citata giurisprudenza, l’Ufficio AI ha utilizzato i dati salariali forniti dalla tabella TA1 (stato 2010), elaborata dall'Ufficio federale di statistica e relativa ad una professione che presuppone qualifiche inferiori (categoria 4) nel settore privato svizzero (a proposito della rilevanza delle condizioni salariali nel settore privato, cfr. RAMI 2001 U 439, pagg. 347ss. e SVR 2002 UV 15, pagg. 47ss ), aggiornata al 2013, per un salario mensile di fr. 4'332,78. Riportando tale dato su 41.6 ore di durata media lavorativa settimanale, il salario corrisponde a fr. 54’203,12 per l’intero anno e per un impiego a tempo pieno. L’amministrazione, tenuto conto di una riduzione di rendimento del 40%, ha riconosciuto una deduzione del reddito per attività leggere pari al 9% (4% per attività leggere e 5% per svantaggi salariali) e quindi un reddito da invalida di fr. 19'729,93 (cfr. rapporto 17 marzo 2015 del consulente IP in doc. AI 122). La ricorrente sostiene invece che occorre partire dall’80% del salario statistico, pari al pensum lavorativo. Tale soluzione non è corretta. Come giustamente evidenziato in sede di risposta di causa, nella STF 9C_293/2007 del 20 maggio 2008 la nostra Massima istanza federale ha stabilito che al reddito da invalido, ottenuto tenendo conto di una ridotta capacità, non poteva essere contrapposto un reddito senza invalidità a tempo pieno. Infatti, in applicazione del metodo misto, per la valutazione dell'invalidità in ambito lucrativo fanno stato i redditi da valido e da invalido determinati sulla base temporale di un'attività lucrativa parziale (ipoteticamente) esercitata senza danno alla salute (DTF 125 V 146 consid. 2b pag. 150; cfr. pure DTF 131 V 51 consid. 5.1.2 pag. 53 nonché le sentenze del Tribunale federale delle assicurazioni I 708/06 del 23 novembre 2006, consid. 4.5, e I 599/05 del 6 febbraio 2006, consid. 4.1). Determinante per l'accertamento del reddito senza invalidità non è infatti quanto l'assicurato potrebbe ragionevolmente guadagnare in qualità di persona esercitante un'attività lucrativa a tempo pieno, bensì quanto egli ipoteticamente, secondo il grado della verosimiglianza preponderante, guadagnerebbe senza danno alla salute (cfr. DTF 133 V 504 consid. 3.3 e Pra 1992 no. 224 pag. 877 consid. 4a). Pertanto, il reddito da invalido stabilito secondo i dati statistici deve essere ridotto dapprima in base alla percentuale di esigibilità lavorativa stabilita dal medico, poi della percentuale stabilita per tener conto delle circostanze specifiche del caso concreto. È solo successivamente (e cioè al momento del calcolo complessivo) che si tiene conto della quota parte relativa all’attività salariata ( in casu dell’80%). In sede di risposta l’Ufficio AI ha giustamente corretto il calcolo del reddito da valido partendo dall ' inchiesta svizzera sulla struttura dei salari 2012 ( cfr. a quest'ultimo proposito la sentenza 9C_632/2015 del 4 aprile 2016, pubblicata in DTF 142 V 178, in particolare consid. 2.5.7), edita dall'Ufficio federale di statistica, più precisamente dalla tabella TA1 2012 skill level (NOGA08, RSS 2012 pag. 35; salario mensile lordo [valore centrale] secondo il ramo economico, il livello di competenze e il sesso). Dalla tabella emerge che il salario lordo mediamente percepito in quell'anno dalle donne per un ' attività semplice di tipo fisico o manuale (ossia il livello 1 di competenze) di 40 ore settimanali nel settore privato (circa la rilevanza delle condizioni salariali nel settore privato , cfr. RAMI 2001 U 439 pag. 347 segg. e SVR 2002 UV 15 pag. 47 segg.), corrisponde ad un importo di fr. 49’344.-- (fr. 4’112.- x 12 mesi). Riportando queste cifre su un orario medio di lavoro settimanale nelle aziende di 41,7 ore computabili nel 2012 ( cfr. per questo aspetto, STFA I 203/03 del 21 luglio 2003, consid. 4.4; cfr. anche sentenza U 8/07 del 20 febbraio 2008 e la tabella B9.2 pubblicata in: La Vie économique, 3/4-2015, pag. 88 e la Tabella sulla durata normale del lavoro nelle aziende secondo la divisione economica, in ore per settimana, pubblicata dall'Ufficio federale di statistica ), il salario lordo medio ipotetico nazionale da invalido per un donna ammonta a fr. 51'441.- ( fr. 49’344 : 40 x 41,7) , ritenuto che la quota di tredicesima è già compresa (STFA U 274/98 del 18 febbraio 1999, consid. 3a). Tale dato è stato poi aggiornato al 2013 (0.7%), corrispondente a fr. 51'801.--. Ritenuta una capacità lavorativa del 40% ed una riduzione rettificata del 10% ( cfr. STF 9C_179/2013 del 26 agosto 2013, il Tribunale federale ha interamente confermato quanto sostenuto da questo Tribunale nella sentenza 32.2012.36 del 31 gennaio 2013 a proposito del fatto che la riduzione percentuale va applicata utilizzando esclusivamente dei multipli di 5), il reddito da invalido è stato fissato in fr. 18'648,45. Di conseguenza il grado d’invalidità risulta essere del 62,3 %. La ricorrente chiede una riduzione del reddito del 15%. A prescindere dal fatto che non vi sono motivi per scostarsi dalla valutazione dall’amministrazione, come rettamente rilevato da quest’ultima in sede di risposta, con l’aumento della riduzione al 15% – con conseguente reddito da invalida di fr. 17'612,40 (51'801 x 40% - 15%) – l’esito della vertenza non cambierebbe. Un’invalidità parziale del 64,40% ( 49'462,40 – 17'612,40 x 100 : 49'462,40 ), come si vedrà (cfr. consid. 2.9), non permette infatti di riconoscere all’assicurata un grado d’invalidità globale pensionabile. 2.8. L'invalidità delle persone che si occupano (esclusivamente o parzialmente) dell'economia domestica, come si è visto (cfr. consid. 2.4), è stabilita confrontando le singole attività ancora accessibili alla richiedente la rendita AI con i lavori che può eseguire una persona sana. Nella Circolare concernente l'invalidità e l'impotenza dell'assicurazione per l'invalidità (CIGI), nel tenore in vigore dal 1° gennaio 2014, allo scopo di garantire un'uguaglianza di trattamento in tutta la Svizzera ha previsto una nuova ripartizione delle singole attività domestiche sulla base di un minimo ed un massimo - che nel caso concreto risultano essere stati rispettati - attribuibile a ciascuna di esse.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w:t>
      </w:r>
    </w:p>
    <w:p>
      <w:r>
        <w:rPr>
          <w:b/>
        </w:rPr>
        <w:t>E. 20</w:t>
      </w:r>
    </w:p>
    <w:p>
      <w:r>
        <w:t>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 298). Di norma, vanno applicate la ripartizione dei lavori e la valutazione dei singoli compiti di cui al N. 3086. l valori minimi e massimi servono alla parità di trattamento a livello svizzero ed offrono un margine per una valutazione realistica dei singoli casi. Un'altra valutazione può essere applicata soltanto in caso di divergenze molto forti dallo schema (RCC 1986 p.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al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(DTF 133 V 509, consid. 4.2). Se non adotta i provvedimenti volti a ridurre il danno, al momento della valutazione dell’invalidità non sarà tenuto conto della diminuzione della capacità al lavoro nell’ambito domestico.” Al riguardo, la giurisprudenza federale ha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(DTF 130 V 99s consid. 3.3.1; AHI-Praxis 1997 p. 291 consid. 4a; ZAK 1986 p. 235 consid. 2d; RCC 1984 p. 143, consid. 5; STFA 4 settembre 2001 nella causa S., consid. 4, I 175/01). Un intervento da parte dell'autorità giudiziaria nell'apprezzamento della persona incaricata dell'inchiesta si giustifica unicamente nei casi in cui esso appaia chiaramente erroneo (DTF 128 V 93 consid. 4; STFA I 681/02 dell’11 agosto 2003 consid. 2; cfr. anche STFA , I 249/04 del 6 settembre 2004 consid. 5.1.1). L’Alta Corte ha inoltre stabilito che nell'ambito della determinazione dell’invalidità di assicurati occupati nell'economia domestica, è di regola prioritario, rispetto a una valutazione medica-teorica, l'accertamento dettagliato dei rapporti concreti effettuato al domicilio dell'assicurato (STFA I 407/92 dell’8 novembre 1993; cfr. anche RCC 1984 p. 143 consid. 5). L’inchiesta economica a domicilio consente prioritariamente di valutare la portata degli impedimenti causati da disturbi fisici. Essa conserva tuttavia valore probatorio quando si tratta di valutare gli impedimenti che l’interessato incontra nell’esercizio delle sue abituali attività in ragione di disturbi psichici (cfr. STF 9C_108/2009 del 29 ottobre 2009 consid. 4.1). In caso di divergenza tra le risultanze dell’inchiesta domiciliare e le constatazioni di ordine medico, queste ultime hanno di regola più valore (cfr. STF 8C_671/2007 del 13 giugno 2008 consid. 3.2.1 e I 311/03 del 22 dicembre 2003 consid. 4.2.1 pubblicata in Pratique VSI 2004 p. 137). Questa priorità di principio si giustifica con il fatto che è sovente difficile per la persona incaricata dell’inchiesta di riconoscere e di valutare l’entità del danno psichico e degli impedimenti che ne derivano (cfr. STF I 733/03 del 6 aprile 2004 consid. 5.1.3). Nella fattispecie in esame, l'Ufficio AI ha incaricato l'assistente sociale di esperire un'inchiesta per le persone che si occupano dell'economia domestica. Il relativo rapporto è stato allestito il 9 gennaio 2015 (doc. AI 114). Sulla base degli accertamenti eseguiti presso il domicilio, dopo aver fissato gli impedimenti di ogni singola mansione, l'assistente sociale ha stabilito una limitazione complessiva del 35%, risultato rimasto incontestato. Va qui rilevato che nell’inchiesta economica è stata correttamente stabilita una ripartizione delle singole attività domestiche nel rispetto dei parametri di cui alla cifra marginale 3086 CIGI, attribuendo un valore complessivo del 100% all'insieme dei lavori abituali svolti nell'ambito dell'economia domestica, motivo per cui merita conferma. 2.9. Visto quanto sopra, ritenuta un’incontestata ripartizione dell’80% quale salariata e del 20% quale casalinga , dal febbraio 2014 l’assicurata presenta un’invalidità globale del 56,84% (20 X 35% + 80 x 62,3%), con consecutivo diritto ad una mezza rendita. Allo stesso risultato si giunge anche volendo considerare, per ipotesi di lavoro, un’invalidità quale salariata del 64,40%. In tale evenienza l’assicurata presenterebbe un grado d’invalidità globale del 58,52% (20 X 35% + 80 x 64,40%).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della ricorrente. 2.11.   L’assicurata ha tuttavia formulato istanza tendente alla concessione dell’assistenza giudiziaria con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simili condizioni, non essendo realizzato uno dei presupposti (cumulativi) l'istanza è respinta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