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32.2014.97 vom 5. Juni 2014</w:t>
      </w:r>
    </w:p>
    <w:p>
      <w:r>
        <w:t>TI Tribunale d'appello, 2014-06-05, IT</w:t>
      </w:r>
    </w:p>
    <w:p>
      <w:r>
        <w:rPr>
          <w:b/>
        </w:rPr>
        <w:t xml:space="preserve">Quelle: </w:t>
      </w:r>
      <w:r>
        <w:t>https://mcp.opencaselaw.ch/entscheid/ti_gerichte_32.2014.97</w:t>
      </w:r>
    </w:p>
    <w:p>
      <w:r>
        <w:t>FR: TI_GERICHTE 32.2014.97 du 5 juin 2014</w:t>
      </w:r>
    </w:p>
    <w:p>
      <w:r>
        <w:t>IT: TI_GERICHTE 32.2014.97 del 5 giugno 2014</w:t>
      </w:r>
    </w:p>
    <w:p>
      <w:pPr>
        <w:pStyle w:val="Heading2"/>
      </w:pPr>
      <w:r>
        <w:t>Regeste</w:t>
      </w:r>
    </w:p>
    <w:p>
      <w:r>
        <w:t>Domanda di rendita AI respinta in assenza di un danno alla salute invalidante. Nessuna violazione del diritto di essere sentito. Conferma della completezza degli accertamenti effettuati dall'UAI e delle valutazioni mediche esperite</w:t>
      </w:r>
    </w:p>
    <w:p>
      <w:pPr>
        <w:pStyle w:val="Heading2"/>
      </w:pPr>
      <w:r>
        <w:t>Erwägungen</w:t>
      </w:r>
    </w:p>
    <w:p>
      <w:r>
        <w:rPr>
          <w:b/>
        </w:rPr>
        <w:t>E. 2</w:t>
      </w:r>
    </w:p>
    <w:p>
      <w:r>
        <w:t>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 Nel caso di specie, la presa di posizione del servizio medico fiduciario è stata allegata al progetto di decisione del 20 dicembre 2013 (doc. AI 500-2). Tant’è che il ricorrente, al quale in ogni caso prima dell’inoltro del gravame è stato trasmesso l’incarto (doc. AI 517-1), in sede di osservazioni si era lamentato che fosse stato allestito in lingua francese (doc. AI 502-1). Egli ha dunque potuto visionare la valutazione del SMR e prendere posizione, sia per iscritto, che nel corso del colloquio tenutosi il 15 maggio 2014 presso l’UAI (doc. AI 514-1). Del resto, l’insorgente in sede di ricorso, dopo che l’UAI nella decisione impugnata, in seguito alle lamentele dell’interessato in sede di osservazioni al progetto (doc. AI 502-1), facendo riferimento alla sentenza federale  9C_37/2011, aveva affermato di non essere tenuto a tradurre il documento in italiano, non ha obbiettato alcunché circa l’idioma (francese) della presa di posizione del medico SMR. Non va del resto dimenticato che il ricorrente è rappresentato da un avvocato ed il TF ha già avuto modo di affermare, in un altro contesto (quello della redazione della sentenza), che gli avvocati svizzeri sono tenuti a capire le lingue ufficiali della Confederazione (sentenza 9C_182/2009 del 2 marzo 2010, consid. 1 con riferimento alla sentenza 1A.25/2005 dell’8 marzo 2005, consid. 2). Inoltre, l’interessato, malgrado alcuni scritti in francese presenti nell’incarto (cfr. ad esempio doc. AI 417-1), non ha mai sollevato, se non il 29 gennaio 2014 (doc. AI 502-1), ma non più in sede di ricorso, e limitatamente alla presa di posizione del 18 dicembre 2013 del servizio medico, alcuna obiezione in merito. Non va poi dimenticato che il TF ha già avuto modo di stabilire che è possibile prescindere da un rinvio della causa all'amministrazione se, come in concreto,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Ne segue che il diritto di essere sentito dell’insorgente non è stato violato, ciò che del resto l’assicurato neppure ha preteso. Va ancora abbondanzialmente evidenziato che l’insorgente pur accennando al ritardo con il quale l’__________ avrebbe trasmesso l’incarto all’UAI del Canton Ticino per competenza dopo il suo ritorno in __________, non solleva alcuna eccezione di incompetenza. Del resto, l’insorgente chiede al TCA di entrare nel merito del ricorso e domanda la modifica della decisione e non il rinvio degli atti all’amministrazione (doc. I, pag. 11). Ora, di principio una decisione resa da un ufficio AI incompetente territorialmente non è nulla ma annullabile (STFA I 232/03 del 22 gennaio 2004 in SVR 2005 IV Nr. 39 S. 145; ZAK 1989 p. 606; DTF 122 I 97 consid. 3a). Inoltre, conformemente alla giurisprudenza federale (STF 9C_891/2010 del 31 dicembre 2010; SVR 2005 IV Nr. 39; STFA I 8/02 del 16 luglio 2002, U 152/02 del 18 febbraio 2003; DFT 139 II 384 consid. 2.3) per motivi di economia processuale si può prescindere dall’annullare un provvedimento reso da un’autorità territorialmente non competente e rinviare gli atti all’autorità competente se l’eccezione di incompetenza non è stata sollevata e sulla base degli atti può essere presa una decisione. Ciò è manifestamente il caso di specie. L’insorgente non ha sollevato alcuna eccezione di incompetenza e sulla base degli atti può essere presa una decisione. Inoltre, visto il tempo trascorso dall’inoltro della domanda (11 dicembre 1997), vi sono motivi di economica processuale che impongono di agire celermente. Ne segue che il TCA può entrare nel merito del ricorso. Nel merito 2.2.   Oggetto del contendere è la questione di sapere se l’insorgente ha diritto ad una rendita d’invalidità dal febbraio 1997 al 31 agosto 2008. Relativamente al diritto applicabile, deve essere rammentato il principio secondo il quale, per quanto concerne l’aspetto materiale, le norme applicabili sono quelle in vigore al momento in cui i fatti giuridicamente rilevanti si sono verificati (DTF 130 V 445 consid. 1.2). Ne consegue che il diritto alla rendita si esamina fino al 31 dicembre 2007 alla luce delle precedenti norme (ed il riferimento alla LPGA vale per il periodo dal 1° gennaio 2003), e, a partire dal 1° gennaio 2008, in conformità con le nuove disposizioni. Deve essere ancora precisato che non sono invece applicabili le norme della 6a revisione della LAI (primo pacchetto di misure), in vigore dal 1° gennaio 2012 (RU 2011 5659; FF 2010 1603). 2.3.   Secondo l’art. 4 cpv. 1 LAI in relazione con gli artt. 7 e 8 LPGA (per il periodo successivo al 31 dicembre 2002),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Basilea e Francoforte sul Meno 1991, p. 216ss.). Il diritto alla rendita, secondo l'art. 29 cpv. 1 LAI ,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Giusta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 una rendita intera se sono invalidi almeno al 70%, a tre quarti di rendita se sono invalidi almeno al 60%, a una mezza rendita se sono invalidi almeno al 50% o a un quarto di rendita se sono invalidi almeno al 40%. Per l’art. 28 cpv. 2 LAI in vigore dal 1° gennaio 2008, gli assicurati hanno diritto ad una rendita intera se sono invalidi almeno al 70%, a tre quarti di rendita se sono invalidi almeno al 60%, ad una mezza rendita se sono invalidi almeno al 50% o a un quarto di rendita se sono invalidi almeno al 40%. 2.4.   Va ancora rammentato che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Mise en valeur de la capacité de travail résiduelle ? Sur la base des documents au dossier, l'assuré ne présente pas d'atteinte invalidante ayant pour conséquence une diminution de son incapacité de gain permanente ou de longue durée et, de ce fait, nous n'avons pas à nous prononcer quant à l'exigibilité de la mise en valeur d’une éventuelle capacité de travail résiduelle » (doc. AI 498 1-5) Alla luce di quanto sopra questo TCA deve ritenere che l’__________ ha dato seguito a quanto deciso dal __________ e che non vi sono motivi per distanziarsi dalle conclusioni dell’amministrazione. Le valutazioni dei medici SMR, dr. med. __________, __________ e __________, sono da considerare dettagliate, approfondite e quindi rispecchianti i parametri giurisprudenziali ricordati in precedenza. Gli specialisti si sono espressi su tutte le patologie lamentate dall’assicurato, hanno esaminato la documentazione messa a loro disposizione ed hanno valutato la capacità lavorativa dell’insorgente sulla base di tutta la documentazione medica acquisita. In particolare la dr.ssa med. __________, medico capo dell’__________, ha formulato in maniera chiara le diagnosi, in tutte le sue dimensioni (psichiatrica, neuropsicologica, cardiologica e ortopedico-reumatologica) con e senza ripercussioni sulla capacità lavorativa del ricorrente, giungendo alla convincente e motivata conclusione che l’interessato non ha mai avuto una capacità lavorativa durevole nella propria precedente attività, come del resto già stabilito dalla perizia del __________ del 15 settembre 2009. A questo proposito va rilevato come la dr.ssa dell’__________ si è fondata, per la sua valutazione, su tutta la documentazione medica a sua disposizione e come il referto __________ è stato preso in considerazione solo per esaminare la successiva evoluzione dello stato di salute e confermare quanto già emerge dagli altri atti specialistici. La dr.ssa med. __________ ha segnatamente stabilito che dal punto di vista psichiatrico vi è una sola diagnosi del 7 maggio 2011 (sindrome ansioso depressiva importante), ma alcuna presa a carico (neppure farmacologica, se non per un sonnifero, cfr. presa di posizione del dr. med. __________; cfr. anche presa di posizione del dr. med. __________) della patologia né alcuna attestazione di una qualche incapacità lavorativa durevole causata da una patologia psichica. Circa l’aspetto neuropsichiatrico, la dr.ssa ha stabilito che non è stata posta alcuna diagnosi, in particolare con un eventuale disturbo psichico. A parte l’incapacità lavorativa del 40% certificata dal dr. med. __________, non vi è alcun altro medico che ha rilevato una qualsiasi incapacità lavorativa per questa patologia. Del resto tutte le conseguenze sono attribuite al colpo di frusta seguito all’incidente del 1997. Tuttavia l’interessato non ha mai subito alcuna conseguenza organica a livello cerebrale in seguito all’incidente. Per quanto concerne la patologia cardiaca, l’incapacità lavorativa è limitata al periodo successivo all’operazione subita nel 2002, per il periodo dal 21 aprile al 1° agosto. Anche dal punto di vista reumatologico-ortopedico non viene certificata alcuna incapacità lavorativa. La dr.ssa __________ ha così potuto escludere la necessità di ulteriori esami medici ed ha potuto definire i periodi di incapacità lavorativa (riportati nella decisione impugnata). Il ricorrente sostiene che i medici del SMR __________ e del Servizio medico dell’__________ non lo hanno mai visto, né visitato e che sarebbe di conseguenza escluso che essi abbiano potuto esprimere fondati pareri sulla fattispecie in esame. A torto. Infatti il referto dei medici SMR risponde alle condizioni poste dalla giurisprudenza e riassunte nel considerando 2.4, per conferirgli piena forza probatoria. Del resto, di norma, una valutazione sulla base dei soli atti medici (“ Aktegutachten ”) è possibile se l’SMR dispone, come in concreto, di sufficienti elementi risultanti da altri accertamenti personali (cfr., nel caso di una perizia, sentenza 9C_376/2007 del 13 giugno 2008; sentenza 8C_659/2010 del 14 febbraio 2011 consid. 5; sentenza 8C_947/2011 del 27 gennaio 2012; sentenza 8C_184/2013 del 7 giugno 2013, consid. 2.5). In concreto non va poi dimenticato che il __________ non ha ordinato un nuovo esame personale, bensì ha lasciato ai medici dell’__________ il giudizio circa l’eventuale necessità di ulteriori accertamenti medici (cfr. consid. 11: “ […] L’__________ sottoporrà l’insieme degli atti al proprio servizio medico, il quale farà espletare gli eventuali nuovi esami medici che riterrà necessari […] ”). Ciò che gli specialisti del SMR __________, nel preciso caso concreto, hanno potuto escludere, essendo sufficiente la (copiosa) documentazione medica dell’inserto. I referti dei medici curanti e quelli citati con il ricorso che danno atto di altri periodi di incapacità lavorativa non sono atti a sovvertire quanto stabilito dai medici SMR, sulla base di tutta la documentazione medica acquisita. Ciò vale in particolare per i certificati che l’insorgente ha prodotto in sede di audizione (del resto in gran parte già agli atti in precedenza e dunque già ampiamente valutati [cfr. doc. AI 380]), i quali si limitano a porre diagnosi e inabilità lavorative, senza tuttavia descrivere elementi medici oggettivi che possano mettere in dubbio le pertinenti valutazioni dei medici SMR (doc. AI 513 e seguenti). A questo proposito il TF ha più volte avuto l’occasione di ribadire che la differente valutazione medica tra il medico che prende in cura l’assicurato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 ricorrente va ugualmente ricordato che il solo fatto che uno o più medici curanti esprimano un'opinione contraddittoria non è sufficiente a rimettere in discussione una perizia ordinata dal giudice o dall'amministrazione e a imporre nuovi accertamenti (cfr. ad esempio sentenza 9C_721/2012 del 24 ottobre 2012 consid. 4.4 con riferimento; sentenza 9C_697/2013 del 15 novembre 2013, consid. 3.2).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Le attestazioni di incapacità lavorative al 100% nel 1997 e nel 1998 dei dr. med. __________ e __________, non fanno stato di alcuna diagnosi né di alcun dato medico oggettivo (doc. AI 513-2 e 513-2). I certificati della __________ di __________ del 24 luglio 1998 e del 6 aprile 1999, riportano le diagnosi già note, nonché i periodi di degenza che sono stati riconosciuti dai medici SMR quali momenti di completa incapacità lavorativa (doc. AI 513-4 e 513-5). Con il certificato dell’8 agosto 2000 il dr. med. __________, specialista in endocrinologia di __________ (__________) si limita ad attestare un’inabilità a svolgere la normale attività senza apportare alcun elemento medico oggettivo (doc. AI 513-6), così come con quello del 7 maggio 2001 il dr. med. __________ (doc. AI 513-8; cfr. anche la presa di posizione, a questo proposito, della dr.ssa med. __________, cfr. anche doc. AI 380-4), con quello del 20 giugno 2003 il dr. med. __________ di __________ (__________; doc. AI 513-9) e con quello del 16 novembre 2004 il dr. med. __________ (doc. AI 513-11). Neppure gli estratti di referti medici allestiti dal dr. med. __________ l’11 gennaio 2001 (doc. AI 513-7), il 30 gennaio 2004 (doc. AI 513-10) e il 14 marzo 2007 (doc. AI 513-19), nonché quello del 2 febbraio 2007 del dr. med. __________ (doc. AI 513-18), contengono elementi che possano far ritenere come non corrette le conclusioni dei medici SMR. La dr.ssa med. __________ ha preso posizione in particolare sui certificati del dr. med. __________, rilevando che tutti e tre i certificati, malgrado il tempo trascorso, sono identici, parola per parola, sia per quanto concerne l’esame clinico attuale , che le diagnosi, e che l’esame clinico è poco descrittivo, riportando essenzialmente le lamentele del ricorrente, senza alcun elemento oggettivo. A questo proposito va rammentato, circa il ruolo del medico SMR,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Alla luce di quanto sopra esposto ed in particolare delle valutazioni dei medici SMR, questo TCA deve concludere che l’assicurato, nel periodo determinante (11 dicembre 1996 [cfr. sentenza __________ del 18 febbraio 2013 del __________, consid. 9.6] – 31 agosto 2008), non ha presentato alcun danno alla salute che abbia come conseguenza una diminuzione della sua capacità di guadagno permanente o di lunga durata (cfr. in particolare art. 28 e 29 LAI). Ne segue che, come rilevato giustamente dall’UAI, non è necessario né stabilire quali attività esigibili potrebbe esercitare l’insorgente, né procedere con l’abituale raffronto dei redditi. Va infine evidenziato che la circostanza che in __________ l’interessato sia considerato invalido e abbia beneficiato dal 1° marzo 2006 al 65esimo anno di età di un assegno per invalidità (cfr. doc. AI 513-17) non è un motivo per poter ottenere la medesima prestazione in Svizzera, ritenuto come i concetti giuridici alla base della fissazione dell’invalidità tra i due Paesi sono diversi. L’allora TFA (dal 1° gennaio 2007: TF) ha stabilito che anche in seguito all’entrata in vigore dell’ALC, il grado d’invalidità si determina unicamente in base al diritto svizzero. Infatti, in DTF 130 V 253, al consid. 2.4 (cfr. anche Silvia Bucher, Die Rechtsprechung des Eidgenössischen Versicherungsgerichts zum Freizügigkeitsabkommen (FZA) , in SZS 2004, pag. 405 e segg., in particolare pag. 422), l’Alta Corte ha precisato che: " 2.4  Während somit das FZA gegenüber der bisherigen Rechtslage für unter den persönlichen Anwendungsbereich der Verordnung Nr. 1408/71 fallende Versicherte insofern eine Verbesserung bringt, als Viertelsrenten neu exportierbar sind, ändert sich hinsichtlich der Invaliditätsbemessung nichts an der bisherigen Rechtslage. Wie in nach dem Sozialversicherungsabkommen mit Österreich zu beurteilenden Fällen die Gewährung von Leistungen durch ein österreichisches Versicherungsorgan die invalidenversicherungs-rechtliche Beurteilung nach schweizerischem Recht nicht präjudiziert (Urteil K. vom 4. Februar 2003, I 435/02, Erw. 2), bestimmt sich der Invaliditätsgrad auch nach Inkrafttreten des FZA (abgesehen von der Berücksichtigung der von den Trägern der anderen Staaten erhalte-nen ärztlichen Unterlagen und Berichte gemäss Art. 40 der Verordnung Nr. 574/72; vgl. auch Art. 51 der Verordnung Nr. 574/72) allein nach schweizerischem Recht. Nach Art. 40 Abs. 4 der Verordnung Nr. 1408/71 ist nämlich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EU-Mitgliedstaaten und der Schweiz) nicht der Fall ist." Alla luce di quanto sopra esposto il ricorso va respinto, mentre la decisione impugnata merita conferma. 2.8.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500.--andrebbero poste a carico del ricorrente. Quest’ultimo chiede tuttavia di essere posto al beneficio dell’assistenza giudiziaria con il gratuito patrocinio.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Kieser, ATSG Kommentar, Zurigo, Basilea, Ginevra 2009, ad art. 61, n. 102, pag. 788). I presupposti (cumulativi) per la concessione dell’assistenza giudiziaria – rimasti invariati rispetto al vecchio diritto (Kieser, op. cit., ad art. 61, n. 102s)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Müller, Grundrechte in der Schweiz, 1999, p. 544).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In concreto dagli atti emerge che l’insorgente percepisce una rendita AVS di fr. 1'908 al mese (doc. IX/bis), cui occorre sottrarre fr. 1'200 quale importo base per persone che vivono sole secondo la Tabella per il calcolo del minimo di esistenza ai fini esecutivi (edita dalla CEF, quale autorità cantonale di vigilanza, stato 1° settembre 2009), fr. 300 di supplemento del 25% sul fabbisogno minimo secondo la citata giurisprudenza (STFA U 102/04 del 20 settembre 2004), fr. 250 per l’affitto (doc. IX/bis) e fr. 130.35 per la cassa malati (al netto del sussidio; doc. IX/Bis), per un residuo mensile di fr. 27.65, manifestamente insufficiente per pagare un avvocato. Va qui evidenziato che l’importo di fr. 5'887.30 (secondo pilastro) versato trimestralmente dalla __________ (cfr. anche tassazione 2012 e doc. AI 482-6), è pagato direttamente alla moglie da cui l’insorgente vive separato, su ordine del Pretore aggiunto del Distretto di __________ del 22 aprile 2014 (cfr. doc. D2) e non deve di conseguenza essere preso in considerazione. In queste circostanze il requisito dell’indigenza è dato. Considerato che l’interessato non dispone delle necessarie conoscenze giuridiche, per cui l'intervento di un legale, in casu l’avv. RA 1, appare senz'altro giustificato, e che le argomentazioni, tenuto conto dell’insieme della procedura, non erano palesemente destituite di esito favorevole, il TCA ritiene che nella fattispecie siano soddisfatti i requisiti cumulativi per la concessione dell'assistenza giudiziaria a favore dell'assicurato, riservato l'eventuale obbligo di rimborso, qualora la situazione economica dell’insorgente dovesse in futuro migliorare (cfr. art. 61 lett. f LPGA; sentenza 32.2011.202 del 16 maggio 2012; STFA del 15 luglio 2003, I 569/02, consid. 5; STFA del 23 maggio 2002,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