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32.2014.95 vom 2. Juni 2014</w:t>
      </w:r>
    </w:p>
    <w:p>
      <w:r>
        <w:t>TI Tribunale d'appello, 2014-06-02, IT</w:t>
      </w:r>
    </w:p>
    <w:p>
      <w:r>
        <w:rPr>
          <w:b/>
        </w:rPr>
        <w:t xml:space="preserve">Quelle: </w:t>
      </w:r>
      <w:r>
        <w:t>https://mcp.opencaselaw.ch/entscheid/ti_gerichte_32.2014.95</w:t>
      </w:r>
    </w:p>
    <w:p>
      <w:r>
        <w:t>FR: TI_GERICHTE 32.2014.95 du 2 juin 2014</w:t>
      </w:r>
    </w:p>
    <w:p>
      <w:r>
        <w:t>IT: TI_GERICHTE 32.2014.95 del 2 giugno 2014</w:t>
      </w:r>
    </w:p>
    <w:p>
      <w:pPr>
        <w:pStyle w:val="Heading2"/>
      </w:pPr>
      <w:r>
        <w:t>Regeste</w:t>
      </w:r>
    </w:p>
    <w:p>
      <w:r>
        <w:t>Richiesta di provvedimenti professionali (riformazione/riqualifica professionale) respinta poiché non sono assolte le condizioni previste dalla legge</w:t>
      </w:r>
    </w:p>
    <w:p>
      <w:pPr>
        <w:pStyle w:val="Heading2"/>
      </w:pPr>
      <w:r>
        <w:t>Erwägungen</w:t>
      </w:r>
    </w:p>
    <w:p>
      <w:r>
        <w:rPr>
          <w:b/>
        </w:rPr>
        <w:t>E. 17</w:t>
      </w:r>
    </w:p>
    <w:p>
      <w:r>
        <w:t>cpv. 1 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2.2. Nel caso in esame, con lo scopo di accertare in maniera approfondita lo stato di salute dell’assicurato, l’UAI ha acquisito gli accertamenti medici esperiti dall’assicuratore malattie contro la perdita di guadagno, segnatamente la perizia del 9 dicembre 2013 del dr. med. __________, FMH malattie reumatiche, fisiatria e riabilitazione, del 9 dicembre 2013 (doc. AI 28-1). Lo specialista, dopo aver descritto l’anamnesi famigliare, personale remota, sociale ed attuale, lo stato reumatologico e neurologico periferico, ha posto la diagnosi di lombalgia cronica con irritabilità meccanica della cerniera lombosacrale, attualmente in presenza di una sindrome vertebrale locale contenuta e senza segni neurocompressivi in/con alterazioni degenerative bisegmentali secondo RM del 03.05.2013: L4/L5 (condrosi con ernia discale a base larga; spondilartrosi bilaterale) e L5/S1 (condrosi). Dopo aver elencato i limiti funzionali, il perito ha rilevato di non disporre di un mansionario dell’attività di idraulico, ma ritenuto che essa comporta regolarmente sforzi fisici e l’assunzione di posizioni corporee inergonomiche, mal compatibili con il danno alla salute dell’interessato, ha ritenuto un’inabilità lavorativa del 70%, concludendo che “ con ciò il paziente risulta non più idoneo per tale attività ” (doc. AI 28-7). Per un lavoro confacente, rispettoso delle limitazioni stabilite, il perito ha ritenuto l’insorgente “ abile in forma normale (100% per rendimento e presenza) e questo a partire da subito ” (doc. AI 28-7). La valutazione è stata confermata dal medico SMR, dr. med. __________, il 3 febbraio 2014 (doc. AI 37-3). Essendo il quadro clinico dell’insorgente incontestato e non avendo l’assicurato prodotto alcuna documentazione medica atta a sovvertire le motivate e concludenti valutazioni del dr. med. __________ e del dr. med. __________, alle quali va attribuita piena forza probante (cfr. DTF 125 V 351; DTF 132 V 376 [per le perizie in ambito SAM]; cfr. anche sentenza 32.2014.21 dell’11 febbraio 2015, consid. 2.5; cfr. art. 59 cpv. 2bis LAI), l’aspetto medico non impone ulteriori approfondimenti e le valutazioni della capacità lavorativa del ricorrente vanno confermate. 2.3.   Occorre quindi esaminare le conseguenze del danno alla salute subìto dal ricorrente dal profilo economico. 2.3.1.   Per quel che concerne il reddito da valido, il cui importo non è del resto stato contestato in sede di ricorso (doc. I, pag. 2), l’UAI ha quantificato il salario che l’assicurato avrebbe potuto percepire da sano in fr. 69’550.-- nel 2013 (cfr. questionario del datore di lavoro dell’8 ottobre 2013, doc. AI 21-2 [fr. 5'350 X 13]). 2.3.2.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ossia fr. 58’812 all’anno (4’901 X 12,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2011-2013, pubblicata dall'Ufficio federale di statistica, Indice svizzero dei salari per ramo, in: http://www.bfs.admin.ch; cfr. anche tabella B 10.4, pubblicata in La Vie économique, 12-2014, p. 94). Il salario statistico svizzero adeguato al rincaro ammonta pertanto a fr. 60’282 (Fr. 58’812  : 100 x 102,5) nel 2013. Questi dati si riferiscono, però, ad un tempo lavorativo di 40 ore alla settimana. Riportando così queste cifre su un orario medio di lavoro settimanale di 41,7 ore computabili nel 2013 , il salario medio ipotetico da invalido ammonta a Fr. 62’844 (Fr. 60’282 : 40 x 41,7).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ritenuto una riduzione del 10%, ossia 5% dovuta alla necessità di svolgere unicamente attività leggere e 5% per altri fattori di riduzione, mentre il ricorrente chiede una riduzione del 15% per attività leggere e svantaggi salariali derivanti da contingenze particolari. A questo proposito va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va poi dimenticato che con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Nella presente fattispecie, tutto ben considerato, la percentuale del 10% va confermata. Infatti alla luce delle limitazioni descritte dal perito nel referto del 9 dicembre 2013 (doc. AI 28-6/7), nonché della circostanza che l’interessato, nel nostro Paese dal 1977 (doc. AI 7-2), di nazionalità svizzera ed ancora giovane, di lingua madre italiana, può svolgere in maniera completa un’attività leggera e confacente al suo stato di salute, non vi sono motivi per scostarsi dalla valutazione effettuata dall’amministrazione. Partendo quindi da un salario da invalido di fr . 62'844 , riducendolo del 10% a fr. 56'559.60 e raffrontandolo con il reddito da valido di fr. 69'550, si ottiene un grado d’invalidità del 18,6%, arrotondato al 19% secondo la giurisprudenza di cui alla DTF 130 V 121 consid. 3.2, che non dà diritto ad alcuna rendita e neppure a provvedimenti professionali (cfr. consid. 2.1 e DTF 124 V 110). Va comunque evidenziato, per i motivi che seguono, che l’insorgente non avrebbe in ogni caso diritto ad una riformazione/riqualifica professionale neppure se il grado d’invalidità fosse superiore al 20%, e meglio del 23% come da lui calcolato (doc. I, pag. 2). 2.4.   Come anticipato al considerando 2.1.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Con sentenza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non entra in considerazione (cfr. sentenza 32.2011.143 del 21 novembre 2011). La consulente IP nel rapporto dell’11 marzo 2014 non ha proposto provvedimenti professionali in ragione del fatto che l’insorgente può svolgere in maniera completa tutte le attività semplici e ripetitive (doc. AI 43-4). Inoltre l’interessato ha svolto l’attività di manutentore di immobili per una decina d’anni e può quindi svolgere ancora quell’attività lavorativa (doc. AI 43-4). In aggiunta, la consulente rileva, giustamente, che è stato erogato un corso di tecniche di vendita e merceologia e tedesco per la vendita e che l’assicurato può quindi candidarsi per tale attività (doc. AI 43-4). Già solo per i motivi addotti dalla consulente in integrazione professionale, la decisione dell’UAI va tutelata, senza che sia necessario approfondire oltre il rilievo della medesima funzionaria secondo la quale durante il percorso di intervento tempestivo ha proposto una formazione come manutentore in virtù del fatto che l’interessato aveva svolto l’attività per molti anni, ma che l’assicurato “ non era disposto a fare una formazione biennale, abbiamo quindi valutato una formazione di vendita più breve ” (doc. AI 43-4) e dunque non ritiene indicata una riqualifica professionale “ anche in considerazione del fatto che non assolve i requisiti di legge ed inoltre perché già allora non era disposto a fare una lunga formazione ” (doc. AI 43-4). Infatti questo Tribunale rileva che l’insorgente, senza dover intraprendere una specifica riqualifica professionale, potrebbe svolgere attività semplici e ripetitive dal profilo fisico leggero o medio-leggero (cfr. anche sentenza 32.2011.143 del 21 novembre 2011; cfr. per analogia sentenze 9C_673/2009 del 14 aprile 2010 consid. 6.2, 9C_753/2008 del 26 ottobre 2009 consid. 3.5 e U 463/00 del 28 ottobre 2003 consid. 3.3).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Ne segue che a giusta ragione l’UAI ha negato il diritto, per il ricorrente, a provvedimenti professionali (riqualifica/riformazione professionale), ritenuto che gode di un ampio ventaglio di professioni possibili che non richiedono particolari misure di reintegrazione professionale (cfr. anche la sentenza 32.2013.75 del 28 gennaio 2014). Inoltre l’amministrazione ha indicato che rimane aperta per l’assicurato la possibilità di far capo ad un aiuto al collocamento (cfr. anche DTF 116 V 85 con riferimenti; SVR 2003 IV Nr. 11 pag. 34 consid. 4.4.; in merito cfr. anche D. Cattaneo, “La promozione dell’autonomia del disabile: esempi scelti dalle assicurazioni sociali”, in RDAT I 2003 pag. 595s). Spetta dunque all’assicurato, se del caso, attivarsi in questo senso e ricontattare l’amministrazione (cfr. sentenza 32.2011.143 del 21 novembre 2011). Nella misura in cui l’UAI ha rifiutato il riconoscimento anche di provvedimenti d’integrazione, la decisione impugnata merita conferma (cfr. sentenza 32.2011.143 del 21 novembre 2011). 2.5.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