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32.2014.92 vom 27. Mai 2014</w:t>
      </w:r>
    </w:p>
    <w:p>
      <w:r>
        <w:t>TI Tribunale d'appello, 2014-05-27, IT</w:t>
      </w:r>
    </w:p>
    <w:p>
      <w:r>
        <w:rPr>
          <w:b/>
        </w:rPr>
        <w:t xml:space="preserve">Quelle: </w:t>
      </w:r>
      <w:r>
        <w:t>https://mcp.opencaselaw.ch/entscheid/ti_gerichte_32.2014.92</w:t>
      </w:r>
    </w:p>
    <w:p>
      <w:r>
        <w:t>FR: TI_GERICHTE 32.2014.92 du 27 mai 2014</w:t>
      </w:r>
    </w:p>
    <w:p>
      <w:r>
        <w:t>IT: TI_GERICHTE 32.2014.92 del 27 maggio 2014</w:t>
      </w:r>
    </w:p>
    <w:p>
      <w:pPr>
        <w:pStyle w:val="Heading2"/>
      </w:pPr>
      <w:r>
        <w:t>Regeste</w:t>
      </w:r>
    </w:p>
    <w:p>
      <w:r>
        <w:t>L'UAI ha riconosciuto 3/4 di rendita all'assicurato, che chiede di essere messo al beneficio di una prestazione al 100%. Conferma della decisione dell'amministrazione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cpv. 2 LAI) dal 1° gennaio 2014 (art. 88bis cpv. 2 lett. a OAI), come calcolato dall’amministrazione. In queste condizioni il ricorso va respinto, mentre la decisione impugnata deve essere confermata. 2.9. S econdo l’art. 69 cpv. 1bis LAI la procedura di ricorso in caso di controversie relative all’assegnazione o al rifiuto di prestazioni AI dinanzi al tribunale cantonale delle assicurazioni è soggetta a spese. L’entità delle spese è determinata fra 200.-- e 1’000.-- franchi in funzione delle spese di procedura e senza riguardo al valore litigioso. Visto l’esito della vertenza, le spese per complessivi fr. 500.--sono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