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32.2014.91 vom 10. Juni 2014</w:t>
      </w:r>
    </w:p>
    <w:p>
      <w:r>
        <w:t>TI Tribunale d'appello, 2014-06-10, IT</w:t>
      </w:r>
    </w:p>
    <w:p>
      <w:r>
        <w:rPr>
          <w:b/>
        </w:rPr>
        <w:t xml:space="preserve">Quelle: </w:t>
      </w:r>
      <w:r>
        <w:t>https://mcp.opencaselaw.ch/entscheid/ti_gerichte_32.2014.91</w:t>
      </w:r>
    </w:p>
    <w:p>
      <w:r>
        <w:t>FR: TI_GERICHTE 32.2014.91 du 10 juin 2014</w:t>
      </w:r>
    </w:p>
    <w:p>
      <w:r>
        <w:t>IT: TI_GERICHTE 32.2014.91 del 10 giugno 2014</w:t>
      </w:r>
    </w:p>
    <w:p>
      <w:pPr>
        <w:pStyle w:val="Heading2"/>
      </w:pPr>
      <w:r>
        <w:t>Regeste</w:t>
      </w:r>
    </w:p>
    <w:p>
      <w:r>
        <w:t>Riconsiderazione di una decisione relativa al calcolo del contributo per l'assistenza. In casu negata una valutazione manifestamente errata</w:t>
      </w:r>
    </w:p>
    <w:p>
      <w:pPr>
        <w:pStyle w:val="Heading2"/>
      </w:pPr>
      <w:r>
        <w:t>Erwägungen</w:t>
      </w:r>
    </w:p>
    <w:p>
      <w:r>
        <w:rPr>
          <w:b/>
        </w:rPr>
        <w:t>E. 42</w:t>
      </w:r>
    </w:p>
    <w:p>
      <w:r>
        <w:t>quater; b. si avvale del diritto al godimento anticipato della rendita di vecchiaia secondo l'articolo 40 capoverso 1 LAVS o raggiunge l'età di pensionamento; oppure c.   decede (cpv. 3). 2.2. Secondo l’art. 39e OAI cpv. 1 l’Ufficio AI d etermina il bisogno di aiuto mensile riconosciuto in ore. Il cpv. 2 prevede i limiti massimi di ore mensili seguenti: a. per prestazioni di aiuto negli ambiti di cui all'articolo 39 c lettere a-c, per ciascun atto ordinario della vita ritenuto per la fissazione dell'assegno per grandi invalidi: 1. 20 ore in caso di grande invalidità di grado lieve, 2. 30 ore in caso di grande invalidità di grado medio, 3. 40 ore in caso di grande invalidità di grado elevato; b.   per prestazioni di aiuto negli ambiti di cui all'articolo 39 c lettere d-g: in totale 60 ore; c.   per la sorveglianza di cui all'articolo 39 c lettera h: 120 ore. Per i seguenti gruppi di persone, il numero di atti ordinari della vita da considerare conformemente al capoverso 2 lettera a è stabilito come segue (cpv. 3): a.   per i sordociechi e i sordi gravemente ipovedenti: sei atti      ordinari della vita; b.   per i ciechi e gli ipovedenti gravi: tre atti ordinari della vita; c.   per gli assicurati con una grande invalidità di grado lieve ai            sensi dell'articolo 37 capoverso 3 lettere b, c, d o e: due atti      ordinari della vita. I limiti massimi di ore sono ridotti del 10 per cento per ogni giorno e per ogni notte che l'assicurato trascorre settimanalmente in un istituto (cpv. 4). L’art. 39 f OAI fissa il contributo per l'assistenza a 32.80 franchi           all'ora (cpv. 1 ). Se le prestazioni di aiuto necessarie negli ambiti di cui all'articolo 39 c lettere e-g richiedono qualifiche particolari dell'assistente, il contributo per l'assistenza ammonta a 49.15 franchi all'ora (cpv. 2). L'ufficio AI stabilisce il contributo per l'assistenza per il servizio notturno in base all'intensità delle prestazioni di aiuto da fornire. L'importo massimo del contributo ammonta a 87.40 franchi per notte (cpv. 3). Per l'adeguamento degli importi di cui ai capoversi 1-3 all'evoluzione dei prezzi e dei salari è applicabile per analogia l'articolo 33 ter LAVS (cpv. 4). Infine, secondo l’art. 39g cpv. 2 OAI l'importo annuo del contributo per l'assistenza ammonta a: a. 12 volte l'importo mensile del contributo per l'assistenza; b. 11 volte l'importo mensile del contributo per l'assistenza, se: 1. l'assicurato convive con il coniuge, il partner                                    registrato, il convivente di fatto o un parente in linea               retta, e 2. la persona con cui convive è maggiorenne e non                                        percepisce a sua volta alcun assegno per grandi                                    invalidi. 2.3.   Con decisione del 20 dicembre 2013 l'UAI ha attribuito all'assicurato un contributo di assistenza di fr. 76'250.40 annui dal 1° gennaio 2013. La decisione è cresciuta incontestata in giudizio (cfr. consid. 1.3). In data 10 marzo 2014 il padre dell’assicurato ha esplicitamente domandato di rivedere il calcolo alla base del contributo per l’assistenza – operato dall’assistente sociale mediante l’utilizzo dello strumento di indagine standardizzato FAKT2, ritenuto dalla giurisprudenza atto a quantificare il bisogno complessivo di assistenza di una persona (DTF 140 V 542 ss. consid. 3.2.2) –, fondamento della decisione 20 dicembre 2013, cresciuta in giudicato. Facendo presente che dal 1° marzo 2013 suo figlio non aveva più un coinquilino nel suo appartamento, egli ha infatti chiesto “ di adattare il calcolo rispetto alla fatturazione già allegata togliendo le riduzioni applicate per presenza di un altro adulto nella medesima economia domestica come indicato al marg. CCA 4030 nei 4 settori su 5 della gestione economia domestica, indi versarci la differenza dalle ore supplementari scaturite a decorrere dal 01.01.2013” (cfr. consid. 1.4) . Secondo questo Tribunale l’Ufficio AI ha erroneamente trattato tale scritto alla stregua di una domanda di revisione dell’ammontare del contributo per l’assistenza; in realtà l'amministrazione avrebbe dovuto esaminare se vi erano gli estremi per procedere ad una riconsiderazione della decisione, divenuta definitiva, del 20 dicembre 2013. 2.4.   Ai sensi dell'art.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Secondo l'art. 53 cpv. 2 LPGA, l'assicuratore può tornare sulle decisioni o sulle decisioni su opposizione formalmente passate in giudicato se è provato che erano manifestamente errate e se la loro rettifica ha una notevole importanza. Infine l'assicuratore può riconsiderare una decisione o una decisione su opposizione, contro le quali è stato inoltrato ricorso, fino all'invio del suo preavviso all'autorità di ricorso (art. 53 cpv. 3 LPGA). Attraverso la revisione processuale delle decisioni amministrative (art. 53 cpv. 1 LPGA) 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(ora art. 123 cpv. 2 lett. a LTF; Plädoyer 2007/1 pag. 62).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Va infine rilevato che scopo della revisione processuale è quello di procedere ad una nuova valutazione materiale della fattispecie, con effetto retroattivo (ex tunc) (DTF 129 V 218 consid. 3.2.2 con riferimento a DTF 122 V 138 consid. 2d; cfr. anche Kieser, op. cit. ad art. 53 n. 25 pag. 676). A proposito dell’art. 53 cpv. 2 LPGA (riconsiderazione), la giurisprudenza ha stabilito che l'amministrazione può, in ogni momento, riconsiderare una decisione passata formalmente in giudicato e che non è stata oggetto di una sentenza giudiziale se questa decisione risulta indubbiamente errata e la sua rettifica riveste un'importanza notevole; sia l'assicurato che il giudice non possono tuttavia obbligarla (SVR 1996 UV Nr. 42 pag. 130; DTF 119 V 477; 119 V 422; 119 V 183). In quest'ipotesi non è escluso che il provvedimento, assunto a seguito di riesame, esplichi effetto retroattivo (DTF 119 V 422 = RDAT  I‑1994, pag. 175; DTF 119 V 180). Per valutare se una decisione è senza dubbio errata ci si deve fondare sulla situazione di diritto - compresa la giurisprudenza ‑ esistente al momento della pronuncia della decisione (DTF 117 V 17; 120 V 132; 119 V 480 consid. 1c). L'istituto del riesame persegue infatti lo scopo di correggere un'applicazione giuridica iniziale errata (compreso un accertamento errato dei fatti, nel senso di una valutazione degli stessi; DTF 117 V 17 consid. 2c; 115 V 314; Kieser, Die Abänderung der formell rechtskräftigen Verfügung nach der Rechtssprechung des EVG, SZS 1991 pag. 134). Gli errori in cui è incorsa l'amministrazione devono però essere grossolani (Kieser, SZS 1991 pag. 135; DTF 102 V 17 consid. 3a; 109 V 113 consid. 1c). Una decisione è manifestamente errata, non soltanto quando è stata presa sulla base di norme giuridiche sbagliate o inappropriate, ma anche quando delle disposizioni fondamentali non sono state applicate oppure lo sono state in modo inappropriato (DLA 1996/97 n. 28, pag. 158 consid. 3c). Ciò è segnatamente il caso quando l’amministrazione accorda una rendita di invalidità in violazione del principio della priorità della riformazione professionale sulla rendita (STFA I 559/02 del 31 gennaio 2003). Per contro, non si è in presenza di un errore manifesto quando il versamento della prestazione dipende da condizioni materiali la cui valutazione implica un potere d’apprezzamento, in relazione a taluni aspetti o elementi, e che la decisione appare ammissibile tenuto conto della situazione di fatto e di diritto. Se sussistono dubbi ragionevoli circa il carattere erroneo della decisione iniziale, le condizioni della riconsiderazione non sono soddisfatte (STF 9C_575/2007 del 18 ottobre 2007 consid. 2.2 e I 907/06 del 7 maggio 2007 consid. 3.2.1). Giusta l’art. 88bis cpv. 2 OAI, la riduzione o la soppressione della rendita è messa in atto, al più presto, il primo giorno del secondo mese che segue la notifica della decisione (lett. a). Essa può però intervenire anche retroattivamente dalla data in cui avvenne la modificazione determinante, se l’erogazione illecita è causa dell’ottenimento indebito di una prestazione per l’assicurato oppure se quest’ultimo ha violato l’obbligo di informare, impostogli ragionevolmente dall’articolo 77 (lett. b). L’ art. 88bis OAI è applicabile non solo in caso di revisione ma anche in caso di modifica del diritto alla rendita stabilito in via di riesame (riconsiderazione) (Meyer, Bundesgesetz über die Invalidenversicherung, in: Rechtsprechung des Bundes gerichts zum Sozialversicherungsrecht, 2010, ad art. 30/31 (17 ATSG), pag. 395; Müller,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 eccezion fatta per i casi in cui l’assicurato ha violato il suo obbligo di informare, nel qual caso una modifica ha effetto ex tunc (art. 88bis cpv. 2 lett. b OAI; DTF 110 V 297 e 330, 119 V 432; Müller, op. cit., pag. 95ss). Il TFA ha pure stabilito che l’inizio della soppressione con effetto ex nunc della rendita va stabilito in applicazione analogica dell’art. 88bis cpv. 2 lett. a OAI (DTF 111 V 197). 2.5.   Nel caso concreto, va immediatamente esclusa una revisione processuale della decisione 20 dicembre 2013 non avendo l’assicurato fatto presente l’esistenza di nuovi fatti e nuovi mezzi di prova ai sensi della giurisprudenza (cfr. consid. 2.4.2). Rimane da esaminare se vi sono i presupposti per una riconsiderazione (cfr. consid. 2.4) Nelle osservazioni dell'11 settembre 2014 l’Ufficio AI ha correttamente rilevato che la riconsiderazione costituisce una facoltà dell’amministrazione e non un obbligo. Tuttavia, nelle medesime osservazioni l’UAI ha sostenuto di non essere incorso in alcun errore, motivo per cui l'amministrazione, implicitamente, è entrata nel merito della domanda di riconsiderazione, respingendola. Questo TCA è pertanto chiamato ad esaminare se la decisione 20 dicembre 2013 risulta indubbiamente errata e la sua rettifica riveste un'importanza notevole. Con il presente ricorso l’assicurato sostiene che nella valutazione 5 dicembre 2013 l’assistente sociale dell’AI, contrariamente a quanto ipotizzato dalla stessa, non ha tenuto conto del fatto che dal 18 dicembre 2012 la coinquilina non soggiorna presso il suo appartamento e che un assistente sociale vi ha risieduto solo per un periodo limitato. Nelle osservazioni dell'11 settembre 2014 (cfr. consid. 1.9) l’Ufficio AI ha rettamente rilevato come nella citata valutazione l’assistente sociale abbia invece tenuto conto del fatto che dal 18 dicembre 2012 (nella valutazione 5 dicembre 2013 l’assistente sociale ha scritto 18 dicembre 2013 ; si tratta di un evidente errore di battitura, visto nello stesso documento ella si è così espressa “… il padre della coinquilina di RI 1 (…) riferisce che la figlia è rientrata al domicilio dei genitori il 18 dicembre 2012 “ doc. AI 150) l’assicurato vive da solo nel suo appartamento. In effetti, ai fini della “riduzione per la presenza di altre persone adulte nella stessa economia domestica” delle iniziali 2 persone adulte, dal 1° gennaio 2013 l’assistente sociale ha considerato una sola persona adulta (cfr. la tabelle di calcolo in doc. AI 151-153), applicando la corrispettiva riduzione poiché “ il bisogno di aiuto nel gestire l'economia domestica è stato ridotto in quanto gli assistenti che vivono presso l'assicurato sono considerati come persone adulte presenti nell'economia domestica ” (cfr. decisione contestata del 10 giugno 2014; consid. 1.5). Nello scritto 6 settembre 2014 l’assicurato contesta tale riduzione poiché “ritenere gli assistenti personali parte dell’economia domestica è azzardato e comunque se ne fa cenno solo al momento della decisione di non entrata in materia contestata e mai in precedenti occasioni …” (VI). Il marg. no. 4030 della Circolare sul contributo per l’assistenza (CCAI) dispone che “a seconda della composizione dell’economia domestica, il bisogno di aiuto dovuto all’invalidità è ridotto se nella stessa economia domestica sono presenti uno o due altri adulti, si applica una riduzione del 33 per cento; a partire dal terzo adulto, la riduzione è del 45 per cento. A tal fine, si considerano adulti anche gli assistenti che vivono presso l’assicurato. Non sono invece considerati i propri figli e nipoti che non hanno ancora compiuto 25 anni”. Ora, in concreto, come rettamente rilevato dall’Ufficio AI nelle osservazioni 11 settembre 2014, dal momento che l’assicurato necessita di una sorveglianza personale permanente e la presenza costante 24 ore su 24 di una persona nell’economia domestica, ciò costituisce un fattore di riduzione, indipendentemente dal fatto che tale sorveglianza sia fornita dalla stessa persona o da differenti persone, come è il caso qui in esame. Va poi fatto presente che con rapporto 21 giugno 2013 l’incaricata ha dettagliatamente esaminato le osservazioni 4 giugno 2013 presentate dal padre dell’assicurato al calcolo del contributo per l’assistenza fissato con il progetto di decisione 17 aprile 2013 (doc. AI 143). L’assistente sociale ha esaurientemente e convincentemente spiegato i motivi di conferma della sua valutazione relativa ai limiti massimi mensili (per gli atti ordinari della vita, economia domestica e tempo libero e sorveglianza diurna), alla riduzione per “altre prestazioni dell’AI “ (detrazione dell’importo dell’assegno per grandi invalidi dal bisogno di aiuto complessivo diviso per l’importo mensile dell’assegno per la tariffa standard del contributo per l’assistenza), al calcolo del bisogno mensile di aiuto riconosciuto, al riconoscimento del bisogno nei singoli settori (vestirsi/svestirsi, mangiare, pulizia personale, espletare i bisogni corporali, acquisti e commissioni, partecipazione alla vita sociale e organizzazione del tempo libero e sorveglianza notturna). Del resto, nella più volte citata valutazione 5 dicembre 2013 l’assistente sociale, dopo aver proceduto a degli accertamenti (doc. AI 145 – 149), ha accettato alcune richieste dell’assicurato, quali lo stralcio della riduzione dei limiti massimi di ore previsto per il soggiorno diurno in istituto (art. 39e cpv. 4 OAI) ed il riconoscimento della necessità di una cura medicamentosa (doc. AI 150). Il rapporto modificato è stato poi preso come base della decisione 20 dicembre 2013. Va del resto ricordato che secondo la giurisprudenza un intervento dell'autorità giudiziaria nell'apprezzamento della persona incaricata dell'inchiesta si giustifica unicamente nei casi in cui essa appaia chiaramente erronea (DTF 133 V 468 consid. 11.1.1, 130 V 62 consid. 6.2, 128 V 93 consid. 4). Visto quanto sopra, la decisione 20 dicembre 2013 non può essere ritenuta manifestamente errata, motivo per cui una riconsiderazione della stessa non è giustificata. 2.6.   A titolo abbondanziale va rilevato quanto segue. Se il grado d'invalidità del beneficiario della rendita subisce una modifica, che incide in modo rilevante sul diritto alla rendita, questa sarà, per il futuro, aumentata o ridotta proporzionalmente o soppressa, d’ufficio o su richiesta (art. 17 cpv. 1 LPGA). Ogni altra prestazione durevole accordata in virtù di una disposizione formalmente passata in giudicato è, d'ufficio o su richiesta, aumentata, diminuita o soppressa se le condizioni che l'hanno giustificata hanno subito una notevole modificazione (art. 17 cpv. 2 LPGA).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(art. 87 cpv. 1 lett. a OAI) oppure allorché si conoscono fatti o si ordinano provvedimenti che possono provocare una notevole modifica del grado d'invalidità, della grande invalidità oppure del bisogno di assistenza o di aiuto dovuto all'invalidità (art. 87 cpv. 1 lett. b OAI). Se è fatta domanda di revisione, nella domanda si deve dimostrare che il grado d'invalidità o di grande invalidità o il bisogno di assistenza o di aiuto dovuto all'invalidità è cambiato in misura rilevante per il diritto alle prestazioni (art. 87 cpv. 2 OAI).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(art. 87 cpv. 3 OAI). Va rilevato che se l’assicurato non ha dimostrato un rilevante cambiamento per il diritto alle prestazioni,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Universitätsverlag Freiburg Schweiz, 2003, pag. 84-86). Nella presente fattispecie p endente causa, il 18 giugno 2014 l’assicurato ha comunicato direttamente all’Ufficio AI, dopo due mesi di permanenza presso il foyer della __________ a __________, il cambiamento del suo domicilio, dal maggio 2014, a __________ (doc. AI 168). Secondo l’amministrazione, come riportato in sede di risposta, potendo comportare una modifica dell’importo del contributo, “ tale nuova situazione (il cambiamento di domicilio n.d.r.) va approfondita ed è pertanto stata avviata una revisione” (sottolineatura del redattore) . Ora, secondo il marg. no. 7006 CCA (sottolineatura del redattore) sono da notificare i seguenti cambiamenti: " Sussiste un motivo di revisione, ovvero una modifica delle condizioni determinante per il diritto al contributo per l’assistenza, se si è verificata una modifica della situazione personale dell’assicurato, in particolare nei seguenti casi: -   miglioramento o peggioramento dello stato di salute; -   cambiamento del grado della grande invalidità; -   cambiamenti relativi all’attività lucrativa, all’attività di pubblica utilità o alla formazione, compresi l’aumento o la diminuzione del grado di occupazione; -   cambiamenti nella fruizione di offerte istituzionali (scuole speciali, centri d’integrazione professionale, laboratori, centri diurni, istituti); -   cambiamenti nella fruizione di prestazioni delle cure di base secondo la LAMal e di altre prestazioni dell’AI; -   cambiamento delle condizioni familiari determinanti (numero di figli, convivenza con familiari ecc.)." È vero che il cambiamento di domicilio non è espressamente indicato, ma, come giustamente evidenziato dall’amministrazione, la lista di cui al succitato marginale non è esaustiva. Del resto, e contrario, tale evenienza non è contemplata quale motivo per cui non sussiste un motivo di revisione ai sensi del marg. no. 7008 CCA [ cambiamenti solo temporanei, come ad esempio un peggioramento transitorio dello stato di salute dell’assicurato a seguito di una malattia; cambiamenti solo temporanei nel ricorso ai fornitori di prestazioni consueti (Spitex, istituzioni), inclusi i cambiamenti temporanei del numero di pernottamenti in istituto, anche se questi superano i 15 al mese; cambiamenti di breve periodo (meno di tre mesi) nella situazione scolastica o professionale (grado di occupazione, centro di formazione, posto di lavoro); modifiche delle direttive amministrative che stabiliscono condizioni di diritto più restrittive; valutazione diversa di fatti sostanzialmente invariati]. L’Ufficio AI ha dunque correttamente avviato una procedura di revisione.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Alla luce di quanto esposto al consid. 2.3,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