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32.2014.83 vom 23. Februar 2012</w:t>
      </w:r>
    </w:p>
    <w:p>
      <w:r>
        <w:t>TI Tribunale d'appello, 2012-02-23, IT</w:t>
      </w:r>
    </w:p>
    <w:p>
      <w:r>
        <w:rPr>
          <w:b/>
        </w:rPr>
        <w:t xml:space="preserve">Quelle: </w:t>
      </w:r>
      <w:r>
        <w:t>https://mcp.opencaselaw.ch/entscheid/ti_gerichte_32.2014.83_d20120223</w:t>
      </w:r>
    </w:p>
    <w:p>
      <w:r>
        <w:t>FR: TI_GERICHTE 32.2014.83 du 23 février 2012</w:t>
      </w:r>
    </w:p>
    <w:p>
      <w:r>
        <w:t>IT: TI_GERICHTE 32.2014.83 del 23 febbraio 2012</w:t>
      </w:r>
    </w:p>
    <w:p>
      <w:pPr>
        <w:pStyle w:val="Heading2"/>
      </w:pPr>
      <w:r>
        <w:t>Regeste</w:t>
      </w:r>
    </w:p>
    <w:p>
      <w:r>
        <w:t>Nuova domanda di prestazioni AI respinta in assenza di un peggioramento dello stato di salute con influenza sulla capacità lavorativa dell'assicurato. Conferma della decisione dell'amministrazione</w:t>
      </w:r>
    </w:p>
    <w:p>
      <w:pPr>
        <w:pStyle w:val="Heading2"/>
      </w:pPr>
      <w:r>
        <w:t>Erwägungen</w:t>
      </w:r>
    </w:p>
    <w:p>
      <w:r>
        <w:rPr>
          <w:b/>
        </w:rPr>
        <w:t>E. 6</w:t>
      </w:r>
    </w:p>
    <w:p>
      <w:r>
        <w:t>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Va del resto evidenziato, a comprova che la problematica è di entità limitata, che il dr. med. __________, il 29 agosto 2014, ha accertato, circa il piede e la caviglia a sinistra, una “ mobilità libera e indolente ”, limitando la cura ad una fisioterapia di analgesia locale ed all’assunzione di alcun medicamenti e spray che dovrebbero accelerare la guarigione (doc. H). Non vi sono pertanto elementi medici oggettivi per una patologia invalidante e per un’incapacità lavorativa in attività leggere. Non possono essere d’aiuto al ricorrente neppure le valutazioni del 20 febbraio 2014 (doc. AI 106-5) e del</w:t>
      </w:r>
    </w:p>
    <w:p>
      <w:r>
        <w:rPr>
          <w:b/>
        </w:rPr>
        <w:t>E. 10</w:t>
      </w:r>
    </w:p>
    <w:p>
      <w:r>
        <w:t>giugno 2014 (doc. B), del medico curante, dr. med. __________, medicina generale, chirurgo. Il medico si limita in sostanza a descrivere le già note patologie di cui è affetto il proprio paziente, contestando genericamente, ma senza apportare alcun elemento medico oggettivo, la perizia del SAM e concludendo per una completa inabilità lavorativa del ricorrente, nella precedente attività. Va qui rammentato che il solo fatto che uno o più medici curanti esprimano un’opinione contraddittoria non è sufficiente a rimettere in discussione una perizia ordinata dal giudice o dall’amministrazione e a imporre nuovi accertamenti (sentenza 9C_1070/2008 del 20 agosto 2009, consid. 7.4). Anche perché il medico curante, che vede il proprio paziente quando il disturbo si trova in una fase acuta, di esacerbazione del male, tende a farsi un'idea diversa della gravità del danno alla salute rispetto al perito il cui esame invece non si focalizza sulla necessità di cura in un dato momento (sentenza 9C_697/2013 del 15 novembre 2013, consid. 3.2; SVR 2008 IV n. 15 pag. 43 consid. 2.2.1 [I 514/06]). In una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Del resto, in concreto, determinante è piuttosto la circostanza che l’interessato è completamente abile al lavoro in attività leggere e confacenti al proprio stato di salute con le limitazioni già descritte dal dr. med. __________ nell’ambito della precedente procedura e non vi sono atti medici oggettivi che, successivamente alla perizia SAM, possano far ritenere che l’interessato non possa esercitare un’attività leggera e confacente al suo stato di salute al 100%. 2.6.   L’assicurato sostiene che i medici non hanno indicato quale tipo di attività sarebbe esigibile.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(cfr. sentenza 8C_563/2012 del 23 agosto 2012, consid. 3.3 con riferimenti; sentenza 9C_10/2007 del 26 marzo 2008 consid. 4.6.3; Pratique VSI 1998 p. 296 consid. 3b; sentenza U 329/01 del 25 febbraio 2003, consid. 4.7).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In concreto questo Tribunale ritiene che anche nel caso di specie nel mercato generale del lavoro esistano delle occupazioni, essenzialmente di controllo e di sorveglianza, che il ricorrente, nonostante i disturbi che lo interessano, sarebbe in grado di esercitare in maniera completa. La __________, nella decisione del 17 agosto 2011, aveva del resto elencato una serie di professioni esigibili (addetto alla confezione di cioccolata, incassatore-imballatore, controllore dell’imbottigliamento, aiuto montatore elettricista o aiuto meccanico; cfr. doc. __________ 79-2). 2.7.   Ne segue che, alla luce di tutto quanto sopra esposto, la perizia del SAM va confermata. La generalizzazione della sintomatologia non ha modificato la capacità di lavoro del ricorrente in attività leggere e confacenti al suo stato di salute e le limitazioni già descritte dal dr. med. __________ nel 2010 permangono valide. Ritenuto che fino alla data dell’emissione della decisione formale dell’8 maggio 2014, determinante per stabilire la correttezza del provvedimento impugnato (cfr. DTF 121 V 366 consid. 1b), lo stato di salute del ricorrente, rispetto alla precedente valutazione sfociata nella decisione del 23 febbraio 2012, non ha subito un peggioramento che possa incidere notevolmente sul diritto alla prestazione, a giusta ragione l’UAI ha respinto la richiesta del ricorrente. A questo proposito non è necessario esaminare oltre la valutazione dei periti del SAM secondo cui, contrariamente a quanto stabilito nell’ambito della precedente procedura e dal dr. med. __________, nelle attività già svolte in passato l’insorgente è capace al lavoro al 70% dal mese di marzo 2011. Trattandosi di un miglioramento, ciò non sarebbe comunque d’aiuto all’insorgente. Va infine abbondanzialmente rilevato che l’interessato, per i motivi che seguono, non avrebbe in ogni caso nessun diritto ad una rendita (o a provvedimenti professionali), neppure se si volesse procedere con l’abituale raffronto dei redditi. 2.8.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dagli atti emerge che nel 2009 senza il danno alla salute l’insorgente avrebbe conseguito un reddito di fr. 62'610 (cfr. doc. AI 51-1 e doc. V), aggiornato nel 2013 a fr. 64'702 (+ 0.8% nel 2010; + 1% nel 2011; + 0.8% nel 2012; + 0.7% nel 2013; cfr. www.bfs.admin.ch/bfs/portal/it/index/themen /03/04/blank/key/lohnentwicklung/quartal.html). 2.9.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ossia fr. 58’812 all’anno (4’901 X 12, ritenuto che la quota di tredicesima è già compresa, cfr. STFA del 18 febbraio 1999, U 274/98, p. 5 consid. 3a). Secondo la più recente giurisprudenza del TF (sentenza 8C_671/2013 del 20 febbraio 2014, consid. 4.2), per l'indicizza-zione dei salari nell'ambito dell'accertamento del reddito ipotetico da invalido occorre applicare la Tabella T1.1.10 (Indice dei salari nominali 2011-2013, pubblicata dall'Ufficio federale di statistica, Indice svizzero dei salari per ramo, in: http://www.bfs.admin.ch; cfr. anche tabella B 10.4, pubblicata in La Vie économique, 12-2014, p. 94). Il salario statistico svizzero adeguato al rincaro ammonta pertanto a fr. 60’282 (Fr. 58’812  : 100 x 102,5) nel 2013. Questi dati si riferiscono, però, ad un tempo lavorativo di 40 ore alla settimana. Riportando così queste cifre su un orario medio di lavoro settimanale di 41,7 ore computabili nel 2013 , il salario medio ipotetico da invalido ammonta a Fr. 62’844 (Fr. 60’282 : 40 x 41,7).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aveva deciso una riduzione del 10% (5% per attività leggere e 5% per altri fattori di riduzione), ribadita in sede di risposta (doc. V). A questo proposito va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Nel caso di specie la riduzione del 10% rientra nei limiti giurisprudenziali riconosciuti in casi simili e va confermata. Del resto, anche se si volesse, per pura ipotesi di lavoro, aumentare al 15% la riduzione concessa, tenendo così conto in maniera maggiormente generosa delle limitazioni cui è soggetto il ricorrente nell’ambito dell’esercizio di un’attività lavorativa leggera, il grado d’invalidità non permetterebbe in ogni caso al ricorrente di beneficiare di prestazioni dell’AI. Infatti, raffrontando il reddito da valido di fr. 64’702 con quello da invalido di fr. 62’844, ridotto del 15% a fr. 53’417, si ottiene un grado d’invalidità del 17%. In queste condizioni il ricorso va respinto, mentre la decisione impugnata merita conferma. 2.10.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andrebbero poste a carico del ricorrente. Quest’ultimo chiede tuttavia di essere posto al beneficio dell’assistenza giudiziaria con il gratuito patrocinio.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Zurigo, Basilea, Ginevra 2009, ad art. 61, n. 102, pag. 788). I presupposti (cumulativi) per la concessione dell’assistenza giudiziaria – rimasti invariati rispetto al vecchio diritto (Kieser, op. cit., ad art. 61, n. 102s) – sono in principio dati se l’istante si trova nel bisogno, se l’intervento dell’avvocato è necessario o perlomeno indicato e se il processo non è palesemente privo di esito positivo (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Müller, Grundrechte in der Schweiz, 1999, p. 544). Nella fattispecie, dagli atti emerge che l’insorgente è al beneficio della pubblica assistenza. In tali circostanze l’indigenza deve essere ammessa. Considerato che l’interessato non dispone delle necessarie conoscenze giuridiche, per cui l'intervento di un legale appare senz'altro giustificato e che le argomentazioni non erano palesemente destituite di esito favorevole, il TCA ritiene che nella fattispecie siano soddisfatti i requisiti cumulativi per la concessione dell'assistenza giudiziaria a favore dell'assicurato, riservato l'eventuale obbligo di rimborso, qualora la situazione economica dell’insorgente dovesse in futuro migliorare (cfr. art. 61 lett. f LPGA; sentenza 32.2011.202 del 16 maggio 2012; STFA del 15 luglio 2003, I 569/02, consid. 5; STFA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