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32.2014.33 vom 26. Februar 2014</w:t>
      </w:r>
    </w:p>
    <w:p>
      <w:r>
        <w:t>TI Tribunale d'appello, 2014-02-26, IT</w:t>
      </w:r>
    </w:p>
    <w:p>
      <w:r>
        <w:rPr>
          <w:b/>
        </w:rPr>
        <w:t xml:space="preserve">Quelle: </w:t>
      </w:r>
      <w:r>
        <w:t>https://mcp.opencaselaw.ch/entscheid/ti_gerichte_32.2014.33</w:t>
      </w:r>
    </w:p>
    <w:p>
      <w:r>
        <w:t>FR: TI_GERICHTE 32.2014.33 du 26 février 2014</w:t>
      </w:r>
    </w:p>
    <w:p>
      <w:r>
        <w:t>IT: TI_GERICHTE 32.2014.33 del 26 febbraio 2014</w:t>
      </w:r>
    </w:p>
    <w:p>
      <w:pPr>
        <w:pStyle w:val="Heading2"/>
      </w:pPr>
      <w:r>
        <w:t>Regeste</w:t>
      </w:r>
    </w:p>
    <w:p>
      <w:r>
        <w:t>Richiesta di una rendita AI respinta perché il grado d'invalidità non supera il 2%. Conferma dell'applicazione del metodo ordinario in luogo del metodo misto e della perizia allestita nell'ambito della domanda di indennità gioranliere in caso di malattia</w:t>
      </w:r>
    </w:p>
    <w:p>
      <w:pPr>
        <w:pStyle w:val="Heading2"/>
      </w:pPr>
      <w:r>
        <w:t>Erwägungen</w:t>
      </w:r>
    </w:p>
    <w:p>
      <w:r>
        <w:rPr>
          <w:b/>
        </w:rPr>
        <w:t>E. 20</w:t>
      </w:r>
    </w:p>
    <w:p>
      <w:r>
        <w:t>agosto 2009, consid. 7.4). Anche perché il medico curante, che vede il proprio paziente quando il disturbo si trova in una fase acuta, di esacerbazione del male, tende a farsi un'idea diversa della gravità del danno alla salute rispetto al perito il cui esame invece non si focalizza sulla necessità di cura in un dato momento (sentenza 9C_697/2013 del 15 novembre 2013, consid. 3.2; SVR 2008 IV n. 15 pag. 43 consid. 2.2.1 [I 514/06]). In una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2.9.2   Circa le valutazioni del 15 marzo 2013 del dr. med. __________, FMH reumatologia (doc. AI 26-3) e dei mesi di marzo (doc. AI 27-7), aprile (doc. AI 27-9) e giugno (doc. AI 27-1) 2013 del dr. med. __________, FMH neurochirurgia, attivo presso la Clinica __________, la medesima curante sostiene che i due specialisti hanno ritenuto l’interessata incapace nella sua precedente professione al 50% (doc. I: entrambi “ […] riconoscono un’inabilità al 50% in qualità di operatrice domestica presso l’ __________ […] ”), come stabilito anche dal dr. med. __________ e come da lei stessa accertato (doc. I). La questione non merita comunque particolare approfondimento poiché, determinante, nel preciso caso di specie, non è la capacità lavorativa nella precedente attività, che l’insorgente, con la replica del 22 aprile 2014 (doc. VIII) e con riferimento alle valutazioni del dr. med. __________, ritiene essere del 100%, bensì in attività leggere e confacenti al suo stato di salute, dove può sfruttare al meglio la sua capacità lavorativa residua. I due specialisti non si sono tuttavia espressi in merito a questo aspetto (cfr. anche doc. AI 26-2, dove il dr. med. __________ il 27 giugno 2013 a proposito del referto del 15 marzo 2013 afferma che “ il documento contiene anche alcune indicazioni attinenti alla capacità lavorativa in attività abituale ”; sottolineatura del redattore) e le loro valutazioni non possono di conseguenza sovvertire le conclusioni peritali. Del resto il dr. med. __________, che ha visitato la ricorrente successivamente ai due specialisti, ha preso in considerazione le loro valutazioni e le ha integrate nel referto peritale (doc. Cassa malati 31-3: “ Visto la persistenza della sofferenza è stato coinvolto il neurochirurgo Dr. __________, Clinica __________, che nella sua relazione del 06.03.2013 ha ipotizzato oltre alla patologia lombare anche una componente coxo-femorale bilaterale chiedendo quindi consulto ortopedico [….] Parallelamente il neurochirurgo ha consigliato un trattamento riabilitativo e un calo ponderale, confermando l’inabilità lavorativa allora certificata del 50% senza escludere la necessità di una “riqualifica”. A conclusioni simili è giunto anche il reumatologo Dr. __________ […] ”). Il perito ha del resto rilevato che interpreta “ il quadro in maniera analoga al reumatologo Dr. __________ nell’ambito di una sindrome pseudo radicolare che coinvolge la regione lombogluteale e peritrocanterica a destra nel contesto di alterazioni degenerative specialmente tra L4 e S1. A ciò si aggiunge quale fattore negativo l’obesità con un pannicolo in particolare addominale che tende a spostare in avanti il baricentro, richiedendo quindi una costante contrattura della muscolatura lombare ” (doc. AI 31-6/7). Infine, il perito ha pure descritto nel dettaglio i limiti funzionali della ricorrente, tenendo in considerazione le valutazioni dei due specialisti (cfr. doc. Cassa malati 31-7). Dalla circostanza che il dr. med. __________ ritiene il limite di 5kg quale peso sollevabile dall’interessata, mentre il consulente in integrazione riprende i limiti funzionali stabiliti dal perito (doc. AI 51-1/2), la ricorrente non può di conseguenza trarre alcun giovamento. Ne segue che non vi sono ragioni per scostarsi dalle valutazioni peritali. Per i medesimi motivi le affermazioni del dr. med. __________ FMH neurologia, contenute in uno scritto del 6 luglio 2012 (doc. AI 28-15), anch’esse ben anteriori alla visita da parte del dr. med. __________, non possono essere d’aiuto alla ricorrente. La valutazione dello specialista in neurologia non contiene indicazioni circa la capacità lavorativa dell’interessata in attività leggere e confacenti allo stato valetudinario della ricorrente. Il dr. med. __________ descrive le difficoltà dell’interessata nello svolgimento della professione di aiuto domestica a causa della presenza di “ brachialgia e parestesie nella mano destra, sovraccarico scheletto muscolare, variante anatomica anastomosi __________ ” ed afferma che durante la sua attività l’insorgente è sovraccaricata per quanto riguarda “ le strutture scheletto muscolari nel braccio e mano destra ”. La questione del grado della capacità lavorativa nell’attività abituale non è tuttavia determinante nel caso di specie, potendo l’assicurata sfruttare al meglio la sua capacità lavorativa in attività leggere. Per il resto l’insorgente non ha prodotto ulteriore documentazione medica, né agli atti vi sono attestati o certificati di medici specialisti che potrebbero inficiare le valutazioni, convincenti e motivate, del dr. med. __________, le quali, occorre ribadirlo, sono state confermate dal medico SMR, dr.ssa med. __________, e, perlomeno indirettamente, anche dal medico SMR dr. med. __________, che, il 13 febbraio 2014, ha avallato le conclusioni della sua collega (doc. AI 63-1). A proposito del ruolo del medico SMR, il TCA rammenta che secondo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queste condizioni la documentazione medica agli atti è sufficiente per stabilire la capacità lavorativa della ricorrente, senza che sia necessario l’allestimento di una perizia medica, come richiesto dall’insorgente. Al riguardo va sottolineato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tutto quanto sopra esposto, questo TCA deve concludere che l’insorgente, incapace al lavoro al 50% nella precedente attività ed in attività leggere dall’8 ottobre 2012 (dall’11 settembre 2012 al 7 ottobre 2012 al 100%), può svolgere un’attività leggera e confacente al suo stato di salute al 100% dal 4 novembre 2013. 2.10.   L’insorgente contesta anche l’assenza di indicazioni per quanto concerne le attività leggere esigibili. In concreto, in sede di risposta (doc. IV), su cui l’assicurato ha ampiamente preso posizione (doc. VIII), l’UAI ha rammentato che l’interessata potrebbe svolgere tutte quelle professioni leggere, adeguate al suo stato di salute, che possono essere esercitate nel rispetto dei limiti funzionali elencati dal dr. med. __________, segnatamente nei settori d’attività accessibili a lavoratori non qualificati, con mansioni semplici e ripetitive, che non richiedono una preparazione professionale specifica ma possono essere esercitate dopo una semplice introduzione al posto di lavoro ed un periodo di rodaggio, quali attività nel settore industriale e commerciale composto di lavori leggeri di montaggio, compiti di controllo e sorveglianza (cfr. sentenza 8C_709/2008 del 3 aprile 2009 consid. 2.2 e seguenti). Va qui rammentato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la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Il TF ed il TCA hanno già avuto modo di confermare la possibilità di svolgere attività leggere in maniera completa per persone che presentavano limitazioni ben maggiori rispetto alla qui ricorrente.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questo Tribunale ritiene che anche nel caso di specie nel mercato generale del lavoro esistano delle occupazioni, essenzialmente di controllo e di sorveglianza, che la ricorrente, nonostante i disturbi che la interessano, sarebbe in grado di esercitare in maniera completa. 2.11.   Resta ora da esaminare se l’UAI ha effettuato correttamente il raffronto dei redditi.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l’UAI ha preso in considerazione un reddito da valido, non contestato (doc. I e IX), di fr. 43'780.90 che l’interessata avrebbe potuto percepire nel 2012 (cfr. doc. A, doc. AI 24-3 e per la media degli ultimi anni: doc. XI/1). Nel 2013, anno dell’eventuale diritto alla rendita, il salario sarebbe ammontato a fr. 44’087 (+ 0,7%: cfr. www.bfs.admin.ch /bfs/portal/it/index/themen/03/04/blank/key/lohnentwicklung/quartal.html). 2.12.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corrispondente a fr. 50'700 all’anno,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10-2014, p. 86 ). Il salario statistico svizzero adeguato al rincaro ammonta pertanto a fr. 52’018 (Fr. 50’700 : 100 x 102,6) nel 2013. Questi dati si riferiscono, però, ad un tempo lavorativo di 40 ore alla settimana. Riportando così queste cifre su un orario medio di lavoro settimanale di 41,7 ore computabili nel 2013 (cfr. tabella B 9.2, pubblicata in La Vie économique, 10-2014, p. 84) , il salario medio ipotetico da invalido ammonta a Fr. 54’229 (Fr. 52’018 : 40 x 41,7). L’assicurata chiede una riduzione del salario da invalida conformemente a quanto stabilito dalla sentenza 8C_44/2009 del 3 giugno 2009. I dati di riferimento vanno adeguati in base al principio del parallelismo dei redditi soltanto se è comprovato che l'assicurato non intendeva accontentarsi di un salario modesto (cfr. sentenza 9C_21/2014 del 2 aprile 2014, consid. 4.2). Non vi è una presunzione in tal senso (sentenza 9C_21/2014 del 2 aprile 2014; sentenza 9C_205/2011 del 10 novembre 2011 consid. 8.4, in RtiD 2012 II pag. 414 segg.). In concreto l’interessata è giunta in Svizzera, dal __________, nel 2005 all’età di 40 anni, senza formazione né professione particolare. Dall’estratto conto individuale si evince che ha sempre svolto numerose attività a tempo parziale contemporaneamente, non qualificate, di breve durata, alternando anche vari periodi di disoccupazione (doc. XI/1). Nel corso degli anni ha sempre percepito salari modesti (fr. 10'183 nel 2005, fr. 34'919 nel 2006, fr. 29'778 nel 2007, fr. 37'178 nel 2008, fr. 40'357 nel 2009, fr. 34'591 nel 2010 [anno dell’inizio del danno alla salute]). Applicando l’abituale principio della verosimiglianza preponderante valido nell’ambito delle assicurazioni sociali, questo TCA deve pertanto ritenere che l’insorgente si è accontentata di un reddito modesto e l’applicazione del gap salariale va di conseguenza esclusa. Del resto, per i motivi che seguono, al caso di specie non potrebbe essere applicata alcuna riduzione, essendo il gap salariale inferiore al 5%. In concreto l’assicurata, avrebbe guadagnato da valida, nel 2013, fr. 44'087 (cfr. considerando precedente). L’insorgente sostiene che per calcolare il gap salariale occorre partire dall’importo mensile di fr. 4'106 evinto dal p.to 77-82 e relativo al reddito che donne e uomini conseguono per le attività amministrative e i servizi di supporto. Considerato tuttavia che l’interessata svolgeva l’attività di aiuto domestico/badante, al caso di specie va applicato il p.to 96, “ altre attività di servizi personali ”, relativo al reddito conseguito dalle donne. Partendo da un importo, nel 2010, di fr. 3'524, si giunge ad un salario annuo, nel 2013, di fr. 45’182 (cfr. Tabella TA1 p.to 96 “ altre attività di servizi personali ”, livello di qualifica 4: fr. 3’524 : 40 X 41.9 : 100 X 102 X 12 mesi). Ritenuto che la differenza è del 2,4% non sono in ogni caso dati i presupposti per una riduzione del salario ai sensi della sentenza 8C_44/2009 del 3 giugno 2009.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deciso una riduzione globale del 9% (4% per attività leggera e 5% per svantaggi salariali derivanti da contingenze particolari), tuttavia non più possibile in virtù della predetta giurisprudenza. In concreto il TCA ritiene più consona alla giurisprudenza una riduzione del 10%. Del resto anche volendo applicare, per pura ipotesi di lavoro, la riduzione del 20% proposta dall’insorgente, il diritto alla rendita non sarebbe comunque dato. Raffrontando il reddito da valida di fr. 44’087 con quello da invalida di fr. 54'229, ridotto del 10% a fr. 48'806, si ottiene un grado d’invalidità nullo. Volendo applicare al reddito da invalida una riduzione del 20% a fr. 43'383, il grado d’invalidità sarebbe comunque del 2% e non darebbe diritto ad alcuna rendita. 2.13.   Infine, l’UAI, preso atto che la ricorrente ha inoltrato la propria (seconda) domanda di prestazioni AI nel corso del mese di giugno 2013 (doc. AI 15-1), dopo aver lasciato trascorrere infruttuosamente il termine dell’11 marzo 2013 (cfr. consid. 1.1; doc. AI 7-1 e anche doc. AI 6-3 [“ aspettative da parte dell’assicurato verso l’UAI ]), ritenuto che il diritto alla rendita nasce 6 mesi dopo l’inoltro della richiesta (cfr. art. 29 cpv. 1 LAI), e meglio in concreto il 1° dicembre 2013, e che l’interessata avrebbe avuto diritto ad un quarto di rendita dal 1° settembre 2013 (trascorso l’anno di attesa ai sensi dell’art. 28 cpv. 1 lett. b LAI) al 30 novembre 2013 (mese del miglioramento dello stato di salute) non ha versato alcuna prestazione. A questo proposito va rammentato che per l’art. 88a cpv. 1 OAI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 Nel caso di specie l’amministrazione ha applicato la prima frase dell’art. 88a cpv. 1 OAI ed il marg. 4016 della Circolare sull’invalidità e la grande invalidità nell’assicurazione per l’invalidità (CIGI) per il quale se le condizioni sono stabili , la rendita va ridotta o soppressa dal momento in cui si può supporre che il miglioramento constatato perduri (RCC 1984 pag. 137, 1979 pag. 285). Ci si trova di fronte ad un caso di questo genere quando l’attività lucrativa è ripresa dopo la guarigione da una malattia di lunga durata oppure quando lo stato di salute è migliorato in modo tale che in un prossimo futuro sarebbe esigibile l’esercizio di un’attività lucrativa. In concreto essendo il miglioramento stato accertato con effetto dal 4 novembre 2013, in virtù dell’art. 88a cpv. 1 OAI e del marg. 4016 CIGI l’amministrazione ha soppresso il diritto alla rendita con effetto al 30 novembre 2013. Non sono invece applicabili l’art. 88a cpv. 1 seconda frase OAI ed il marg. 4017 CIGI secondo il quale le condizioni sono instabili quando è ancora possibile un nuovo peggioramento della capacità di guadagno, specie in condizioni di lavoro provvisorie e in caso di possibile ripresa di un’attività lucrativa. In questi casi il miglioramento constatato va preso in considerazione soltanto se è durato tre mesi senza interruzioni rilevanti e se si può supporre che perduri (RCC 1984 pag. 137). Questo aspetto non è del resto stato contestato dalla ricorrente. 2.14.   Alla luce di quanto sopra il ricorso va respinto mentre la decisione impugnata deve essere confermata. 2.15.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