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32.2014.23 vom 11. Februar 2014</w:t>
      </w:r>
    </w:p>
    <w:p>
      <w:r>
        <w:t>TI Tribunale d'appello, 2014-02-11, IT</w:t>
      </w:r>
    </w:p>
    <w:p>
      <w:r>
        <w:rPr>
          <w:b/>
        </w:rPr>
        <w:t xml:space="preserve">Quelle: </w:t>
      </w:r>
      <w:r>
        <w:t>https://mcp.opencaselaw.ch/entscheid/ti_gerichte_32.2014.23</w:t>
      </w:r>
    </w:p>
    <w:p>
      <w:r>
        <w:t>FR: TI_GERICHTE 32.2014.23 du 11 février 2014</w:t>
      </w:r>
    </w:p>
    <w:p>
      <w:r>
        <w:t>IT: TI_GERICHTE 32.2014.23 del 11 febbraio 2014</w:t>
      </w:r>
    </w:p>
    <w:p>
      <w:pPr>
        <w:pStyle w:val="Heading2"/>
      </w:pPr>
      <w:r>
        <w:t>Regeste</w:t>
      </w:r>
    </w:p>
    <w:p>
      <w:r>
        <w:t>Confermato il diritto ad una mezza rendita dal 1. novembre 2011 al 29 febbraio 2012, ad una rendita intera dal 1. marzo 2012 al 31 gennaio 2013 ed a una mezza rendita dal 1. febbraio 2013. Rinvio atti per accertamenti medici per stabilire se l'A. é reintegrabile in qualsiasi attività lavorativa</w:t>
      </w:r>
    </w:p>
    <w:p>
      <w:pPr>
        <w:pStyle w:val="Heading2"/>
      </w:pPr>
      <w:r>
        <w:t>Erwägungen</w:t>
      </w:r>
    </w:p>
    <w:p>
      <w:r>
        <w:rPr>
          <w:b/>
        </w:rPr>
        <w:t>E. 1</w:t>
      </w:r>
    </w:p>
    <w:p>
      <w:r>
        <w:t>marzo 2012 al 31 gennaio 2013 con la decisione dell’11 febbraio 2014 (AI 80/1-3 e 81/1-7), con quella del 25 marzo 2014 (XI/1), oltre alla suddetta rendita intera ha riconosciuto il diritto ad una mezza rendita dal 1. novembre 2011 al 29 febbraio 2012 e dal 1. febbraio 2013 in avanti (cfr. consid. 1.4). Il Tribunale deve pertanto entrare nel merito della lite, ritenuto che oggetto del contendere è dunque sapere se a ragione l’Ufficio AI ha riconosciuto all’assicurata il diritto ad una mezza rendita dal 1. novembre 2011 al 29 febbraio 2012, ad una rendita intera dal 1. marzo 2012 al 31 gennaio 2013 ed ancora ad una mezza rendita dal 1. febbraio 2013 in avanti.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(DTF 109 V 115).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 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(o comunque svolgerebbe in assenza dei fattori invalidanti) solo parzialmente un'attività lucrativa risulta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2.7. Al fine di stabilire il grado d’invalidità, nella fattispecie in esame l’Ufficio AI, applicando il metodo misto e sulla base dei dati forniti dalla ricorrente, ha valutato al 50% la parte dedicata all’attività salariata e al 50% la quota dedicata alle mansioni domestiche. Tale suddivisione deve essere confermata, la relativa conclusione essendo stata presa sulla base delle dichiarazioni rese dall’assicurata in sede d’inchiesta domiciliare del 28 novembre 2012 (doc. AI 59/1-7) che confermano i dati forniti dal datore di lavoro: “(…) L’assicurata dichiara che in assenza del danno alla salute avrebbe lavorato perlomeno in misura del 50%, considerato che le figlie sono ormai cresciute. L’ultima attività di operaia tuttofare, per la ditta del compagno, era svolta nella misura del 20% in ragione del fatto che lo stato di salute era già compromesso. Lo stesso signor __________, presente all’incontro, ha riferito che si trattava prevalentemente di un’attività occupazionale e che la ridotta percentuale d’impie-go era da collegare unicamente al viepiù peggiorato stato di salute. (…)” (doc. AI 59/2). 2.8.   Per quel che concerne la parte salariata l’Ufficio AI – ritenute le sette degenze presso la Clinica __________ (doc. AI 47/1-15) e visto il peggioramento dello stato di salute (cfr. il rapporto medico del 15 luglio 2011 firmato dal dr. __________ e dal dr. __________, medico capo rispettivamente medico assistente, del Servizio psico-sociale del sottoceneri sub doc. AI 42/1-6) rispetto alla perizia psichiatrica del 30 ottobre 2006 del dr. __________ (cfr. doc. AI 14/1-15) – ha predisposto una visita presso il medico psichiatra SMR dr.ssa __________ (doc. AI 54/1-2). La dr.ssa __________i, nel rapporto finale SMR con esame del 20 febbraio 2012 (doc. AI 56/1-8), posta un’incapacità lavorativa dell’80% tanto nella sua attività abituale quanto in un’altra attività adeguata a contare dal dicembre 2008 e ritenuta un’incapacità del 40% quale casalinga, nel rapporto d’esame clinico – esposti l’anamnesi e lo status e posta la diagnosi di “(…) Disturbo schizzoaffettivo, tipo depressivo (ICD 10 F 25.1) (…)” – , ha espresso la seguente valutazione/conclusio-ne: " (…) (…) L’A ha inoltrato domanda di prestazioni AI una prima volta nel 2006. In quell’occasione era stata peritata dal Dr. __________ il quale aveva osservato una IL del 50% come salariata intesa come orario ridotto e una CL totale come casalinga. Non erano state riconosciute prestazioni AI non essendoci un grado d’invalidità e tale decisione era stata successivamente confermata nella sentenza del TCA. L’A. ha poi ripreso dal 2009 il lavoro presso la ditta del compagno con orario di 9 ore settimanali, attività lavorativa che ha interrotto dopo il ricovero in __________ dell’aprile 2011 anche per la chiusura della ditta oltre che per i problemi di salute. L’A. ha cercato nel 2010 di intraprendere una scuola di massaggiatrice ma è stata interrotta per il sopraggiungere dello scompenso psicopatologico responsabile dell’ospedalizzazione in __________ dell’aprile 2012. L’anamnesi, il decorso clinico, lo status psicopatologico, confermano la diagnosi già precedentemente posta di un disturbo schizzoaffettivo, di tipo depressivo (ICD10 F 25.1), caratterizzata da un decorso cronico e che ha necessitato di ricoveri psichiatrici. L’attuale quadro si caratterizza per la presenza soprattutto di una sintomatologia negativa, difficoltà nelle relazioni interpersonali con isolamento (nonostante l’A. abbia parlato di avere “tanti amici” la descrizione del suo quotidiano indica rapporti interpersonali molto scarsi), difficoltà nella gestione e pianificazione delle attività quotidiane. Per quanto riguarda la IL come salariata questa era stata valutata del 50% (orario ridotto) dal Dr. __________ nel 2006, non è quindi possibile accettare la IL del 80% stabilita retrospettivamente dal Dr. __________; il decorso clinico indica che effettivamente vi è stato un impoverimento delle competenze relazionali, l’A non è riuscita a sviluppare una maggiore autonomia dal convivente dal quale mantiene tuttora una dipendenza simbiotica, l’equilibrio psichico è sempre precario nonostante la presa a carico psichiatrica sia regolare ed adeguata, la strutturazione della giornata non è completamente mantenuta. Si valuta quindi un peggioramento della CL del 20% (orario ridotto) a partire dal dicembre 2008 (in qualsiasi attività medico esigibile) quando l’A è stata ricoverata, mentre dalla stessa data anche le competenze come casalinga sono valutate con una CL del 60% da verificare tramite inchiesta da parte delle Assistenti Sociali. I limiti funzionali sono dettati da una ridotta caricabilità e capacità di adattabilità con comparsa di spunti interpretativi, difficoltà di concentrazione, aumentata astenia, abulia, ridotte competenze relazionali. (…)" (doc. AI 56/8) Nell’annotazione del 23 aprile 2013 – considerati il rapporto medico del 27 marzo 2013 della Clinica __________ firmato dal capo servizio dr.ssa __________ e dal medico assistente dr.ssa __________ (doc. AI 65/1-3) e i rapporti della nona rispettivamente dell’ottava ammissione presso lo stesso istituto nei periodi dal 03.08.2012 al 16.10.2012 e dal 07.03.2012 al 16.04.2012 (doc. AI 68/2-3 e 68/4-5) – la dr.ssa __________ si é confermata nella valutazione del 20 febbraio 2012 riconoscendo una incapacità lavorativa del 100% durante le ospedalizzazioni (doc. AI 71/1). Quanto alla parte casalinga – nell’inchiesta domestica del 28 novembre 2011 (doc. AI 59/1-7) – l’assistente sociale ha concluso per un grado d’invalidità del 42,5%. L’Ufficio AI – ritenute le risultanze suesposte e vista l’annota-zione interna per l’incarto del 23 aprile 2013 (doc. AI 72/1) – con la decisione dell’11 febbraio 2014 ha riconosciuto il diritto ad una rendita intera dal 1. marzo 2012 al 31 gennaio 2013 (doc. AI 80/1-7). 2.9.   L’Ufficio AI, come accennato (cfr. consid. 1.4), con la decisione del 25 marzo 2014 ha annullato quella dell'11 febbario 2014 e riconosciuto all’assicurata il diritto ad una mezza rendita dal 1. novembre 2011 al 29 febbraio 2012, ad una rendita intera dal 1. marzo 2012 al 31 gennaio 2013 e ad una mezza rendita dal 1. febbraio 2013 in avanti (XI/1). L’amministrazione è giunta a questo risultato in quanto – considerata la valutazione della dr.ssa __________ secondo la quale dal dicembre 2008 vi è una capacità lavorativa del 20% tanto nella sua attività abituale quanto in un’altra attività adeguata (cfr. doc. AI 56/2) – ha ritenuto che il discapito economico per la parte salariata è del 30% “(…) e non del 15% come erroneamente indicato dall’amministrazione all’interno della decisione impugnata davanti al TCA [ndr.: si riferisce alla decisione dell’11 febbraio 2014] (…)” (XI/1, pag. 3). In effetti, ammessa la possibilità di riprendere, seppur in forma limitata, un impiego nel suo precedente ambito di attività, è possibile procedere ad un confronto percentuale per valutare la perdita di guadagno risultante dalla sua incapacità lavorativa. In questo caso, per il calcolo del grado d’invalidità per la parte salariata, si procede come segue: la percentuale di salariata diminuita della percentuale residua di capacità lavorativa va moltiplicata per cento e divisa per la percentuale di salariata. Nel caso concreto – considerata la parte salariata del 50% e la capacità lavorativa residua nella medesima attività del 20% (cfr. consid. 2.7 e 2.8) – il grado d’invalidità per la parte salariata è del 60% ([50 – 20] x 100 : 50 = 60) e il discapito economico per questa parte si attesta al 30% (50 x 60% = 30%; in argomento, con un esempio concreto e rinvii ad altri casi analoghi, cfr. il consid. 5 della STF 9C_896/2012 del 31 gennaio 2013). Il tasso d’invalidità complessivo – considerata anche la parte casalinga del 50% e il grado d’invalidità del 42,5% stabilito dall’assistente sociale nell’inchiesta domestica del 28 novembre 2011 (cfr. consid. 2.7 e 2.8) – risulta quindi essere del 51% ([50 x 60%] + [50 x 42,5%] = 51,25% arrotondato al 51% secondo la giurisprudenza di cui alla DTF 130 V 121 consid. 3.2). L’Ufficio AI, con la decisione del 25 marzo 2014 (XI/1), ritenuti – dopo l’incapacità lavorativa del 20% dall’ottobre 2002 e del 50% dall’ottobre 2006 (cfr. la perizia psichiatrica del 30 ottobre 2006 del dr. __________ sub doc. AI 14/1-15) – i seguenti periodi di incapacità lavorativa in qualsiasi attività: " (…) 80%  dal 01.10.2008 (recte: dicembre 2008; cfr. doc. AI 56/2) 100%  dal 07.03.2012  (ricovero) 80%  dal 17.04.2012 100%  dal 03.08.2012  (ricovero) 80%  dal 17.10.2012 percentuale da intendere quale riduzione del tempo di lavoro e continua. (…)”. (doc. AI 81/5) e considerata la nuova domanda del maggio 2011 (cfr. consid. 1.1), ha pertanto riconosciuto all’assicurata il diritto ad una mezza rendita dal 1. novembre 2011 (sei mesi dopo la domanda di prestazioni del maggio 2011 ex art. 29 cpv. 1 LAI) al 29 febbraio 2012, ad una rendita intera dal 1. marzo 2012 al 31 gennaio 2013 (ex art. 88a cpv. 1 OAI e ritenuta l’inabilità del 100% durante l’ottava e la nona degenza presso la Clinica __________ nei periodi dal 07.03.2012 al 16.04.2012 e dal 03.08.2012 al 16.10.2012; cfr. doc. AI 68/4-5 e 68/2-3) e ad una mezza rendita dal 1. febbraio 2013 in avanti.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Ciò detto questo Tribunale, limitatamente alla valutazione della capacità lavorativa, non ha motivo per scostarsi dalla valutazione della dr.ssa Uslenghi che, ritenuto un peggioramento dello stato di salute dal dicembre 2008 e considerata un’ina-bilità lavorativa totale durante le degenze in clinica, ha riconosciuto, da allora, un’inabilità lavorativa dell’80% in qualsiasi attività lavorativa (cfr. consid. 2.8). Parimenti – a prescindere dal fatto che non è stata contestata e ricordato che un intervento da parte dell'autorità giudiziaria nell'apprezzamento della persona incaricata dell'inchiesta si giustifica unicamente nei casi in cui esso appaia chiaramente erroneo (DTF 128 V 93 consid. 4; STFA I 681/02 dell’11 agosto 2003 consid. 2) – questo Tribunale può fare propria la valutazione dell’assistente sociale che, nell’inchiesta domestica del 28 novembre 2011 (doc. AI 59/1-7), ha concluso per un grado d’invalidità del 42,5%. Questo vale a maggiore ragione visto che il grado d’invalidità del 42,5% stabilito dall’inchiesta è confermato pure dalla valutazione della dr.ssa __________ che ha ritenuto che “(…) anche le competenze come casalinga sono valutate con una CL del 60% da verificare tramite inchiesta da parte delle Assistenti Sociali (…)” (doc. AI 56/8). Per contro, sulla sola base degli atti di causa, il TCA non può ritenere con la sufficiente tranquillità che l’insorgente sia effettivamente reintegrabile in qualsiasi attività lavorativa nella misura del 20%. In effetti, nel rapporto medico del 27 marzo 2013 (doc. AI 65/1-3), la dr.ssa __________ e la dr.ssa __________ hanno attestato che “(…) il grave quadro psicopatologico rende impossibile pensare ad una reintroduzione della paziente nel normale mondo del lavoro. La sospettosità, i viraggi del tono dell’umore, le tematiche deliranti, rendono impossibile che ella possa mantenere un’attività lavorativa (…)” e, circa la riduzione della capacità lavorativa, hanno concluso che la stessa può considerarsi ridotta “(…) completamente. La paziente risulta al momento in grado di svolgere solo attività in laboratori protetti, affiancata da operatori socio-sanitari. (…)” (doc. AI 65/4). Ora, su questo aspetto – ancorché rilevato nell’annotazione dell’8 aprile 2013: “(…) Si esprime [ndr.: si riferisce alla dr.ssa __________] su una IL del 100% senza specificare da quando e sulla possibilità di lavorare solo in ambito protetto. (…)” (doc. AI 66/1) – la dr.ssa __________ non si è pronunciata chiaramente e nemmeno risulta l’abbia approfondito. Va qui inoltre rilevato che, gia nel rapporto medico del 15 luglio 2011 (doc. AI 42/1-6), il dr. __________ e il dr. __________, hanno evidenziato che “(…) considerando l’evoluzione degli ultimi anni la prognosi lavorativa al di fuori di un contesto protetto appare infausta. (…)” (doc. AI 42/3) e che sempre la dr.ssa __________ e la dr.ssa __________, nel rapporto del 26 ottobre 2012 (doc. AI 68/2-3), hanno rilevato che “(…) durante la degenza, ella ha lavorato presso il laboratorio di lavanderia della Clinica nell’ottica di strutturare poi anche alla dimissione un’attività occupazionale adeguata. Tale progettualità è tuttavia in seguito risultata irrealizzabile, data la forte ambivalenza della paziente in tal senso. (…)” (doc. AI 68/3). Si deve pertanto concludere che, senza i necessari ulteriori accertamenti medici ( una valutazione delle capacità funzionali [EFL] non essendo rilevante vista la patologia esclusivamente psichiatrica; in argomento cfr. la STF 8C_547/2008 del 16 gennaio 2009 parzialmente pubblicata in SVR 2009 IV Nr. 26 pag. 73 e la STCA del 1. settembre 2010 [inc. 32.2010.38] ) , non è dunque possibile concludere che l’insor-gente sia reintegrabile in qualsiasi attività lavorativa (cfr. la STF 9C_136/2014 del 24 giugno 2014 per un caso il cui gli atti sono stati rinviati all’amministrazione per ulteriori accertamenti visto che il dossier non conteneva sufficienti atti medici per poter concludere per una capacità lavorativa solo in un ambito protetto). 2.10.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32.2011.107 del 27 ottobre 2011)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Ora, rilevato come ci troviamo di fronte ad un accertamento dei fatti lacunoso – ribadito che sulla sola base degli atti di causa non è possibile concludere con la sufficiente tranquillità che l’insorgente sia reintegrabile in qualsiasi attività lavorativa – , si giustifica il rinvio degli atti all’amministrazione affinché metta in atto un approfondimento medico volto a stabilire se effettivamente, e se del caso da quando, la capacità di lavoro residua può essere sfruttata solo in un ambito protetto come sostenuto dalla dr.ssa __________ e dalla dr.ssa __________. Di conseguenza, visto tutto quanto precede, la decisione del 25 marzo 2014 deve essere annullata e gli atti rinviati all’Uffi-cio AI affinché proceda conformemente ai considerandi e si pronunci circa l’effettiva reintegrabilità dell’insorgente in qualsiasi attività, fermo restando il diritto di quest’ultima ad una rendita intera dal 1. marzo 2012 al 31 gennaio 2013 ed ad almeno mezza rendita dal 1 novembre 2011 al 29 febbraio 2012 e dal 1. febbraio 2013 in avanti ,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diritto ad una mezza rendita dal 1. novembre 2011 al 29 febbraio 2012, ad una rendita intera dal 1. marzo 2012 al 31 gennaio 2013 e ad una mezza rendita dal 1. febbraio 2013 in avanti , su questo specifico punto non vi è spazio per una reformatio in peius (cfr. anche la STF 9C_205/2011 del 10 novembre 2011, consid. 8.4, penultimo paragrafo). Per un caso in cui questo Tribunale ha proceduto in questo senso vedi la STCA del 17 giugno 2013 (inc. 32.2012.239). Una volta effettuato l’accertamento medico necessario, se dovesse risultare che la possibilità di sfruttare la capacità lavorativa residua è data solo in un ambito protetto, allora l’Ufficio AI si determinerà nuovamente ritenuto che in questa eventualità va riconosciuto il diritto ad una rendita intera. 2.11.   Per quanto precede, il ricorso va accolto, la decisione del 25 marzo 2014 annullata e gli atti rinviati all’amministrazione affinché proceda ai sensi dei considerandi (cfr. consid. 2.9 e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All’assicurata, rappresentata dall’avv. RA 1, vanno inoltre riconosciute le ripetibili (art. 61 cpv. 1 lett. g LPGA) che – vista la nota d’onorario del 31 marzo 2014 (XIII/bis) e ritenuto l’ulteriore allegato del 17 aprile 2014 (XVIII e doc. A) – appare giustificato quantificare, spese comprese, in complessivi fr. 1'000.--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