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32.2014.182 vom 28. Oktober 2014</w:t>
      </w:r>
    </w:p>
    <w:p>
      <w:r>
        <w:t>TI Tribunale d'appello, 2014-10-28, IT</w:t>
      </w:r>
    </w:p>
    <w:p>
      <w:r>
        <w:rPr>
          <w:b/>
        </w:rPr>
        <w:t xml:space="preserve">Quelle: </w:t>
      </w:r>
      <w:r>
        <w:t>https://mcp.opencaselaw.ch/entscheid/ti_gerichte_32.2014.182</w:t>
      </w:r>
    </w:p>
    <w:p>
      <w:r>
        <w:t>FR: TI_GERICHTE 32.2014.182 du 28 octobre 2014</w:t>
      </w:r>
    </w:p>
    <w:p>
      <w:r>
        <w:t>IT: TI_GERICHTE 32.2014.182 del 28 ottobre 2014</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2.2.Secondo lart. 87 cpv. 2 OAIse èfatta domanda di revisione, nella domanda si deve dimostrare che il grado d'invalidità o di grande invalidità o il bisogno di assistenza o di aiuto dovuto all'invalidità è cambiato in misura rilevante per il diritto alle prestazioni.</w:t>
      </w:r>
    </w:p>
    <w:p>
      <w:r>
        <w:t>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w:t>
      </w:r>
    </w:p>
    <w:p>
      <w:r>
        <w:t>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w:t>
      </w:r>
    </w:p>
    <w:p>
      <w:r>
        <w:t>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consid.3; DTF 117 V 198 consid. 4b; DTF 109 V 108 consid. 2b; SVR 2002 IV Nr. 10; Müller, Die materiellen Voraussetzungen der Rentenrevision in der Invalidenversicherung, Universitäts-verlag Freiburg Schweiz, 2003, pag. 84-86; Valterio, Droit et pratique de lassurance invalidité, Les prestations, Lausanne 1985, pag. 270).</w:t>
      </w:r>
    </w:p>
    <w:p>
      <w:r>
        <w:t>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87ss.OAI; VSI 1999 pag. 8; Rüedi, Die Verfügungsanpassung als Grundfigur von Invalidenrenten-revisionen, in Schaffauer/Schlauri, Die Revision von Dauer-leistungen, Veröffentlichungen des Schweizerischen Instituts für Verwaltungskurse an der Uni St. Gallen, 1999, pag. 15; DTF 117 V 198).In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w:t>
      </w:r>
    </w:p>
    <w:p>
      <w:r>
        <w:rPr>
          <w:b/>
        </w:rPr>
        <w:t>E. 29</w:t>
      </w:r>
    </w:p>
    <w:p>
      <w:r>
        <w:t>aprile 1991 nella causa G.C., consid. 4).</w:t>
      </w:r>
    </w:p>
    <w:p>
      <w:r>
        <w:t>Nellasentenza pubblicata in DTF 130 V 64, il TFA ha precisato che se lassicurato non ha reso verosimile un rilevante cambiamento, il principio inquisitorio, secondo cui i fatti rilevanti per il giudizio devono essere accertati d'ufficio dal giudice, non è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w:t>
      </w:r>
    </w:p>
    <w:p>
      <w:r>
        <w:t>Infine,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consid.1b; DTF 116 V 265 consid. 2a; RCC 1991 pag. 269 consid. 1a).</w:t>
      </w:r>
    </w:p>
    <w:p>
      <w:r>
        <w:t>La giurisprudenza sopra menzionata va applicata anche dopo lentrata in vigore della LPGA il 1° gennaio 2003 e il nuovo tenore dellart. 87 OAI valido dal 1° marzo 2004 (STFA dell8 marzo 2006 nella causa J. [I 734/05]);</w:t>
      </w:r>
    </w:p>
    <w:p>
      <w:r>
        <w:t>Il TF nella sentenza 8C_716/2011 del 5 gennaio 2012 haprecisato:</w:t>
      </w:r>
    </w:p>
    <w:p>
      <w:r>
        <w:t>()</w:t>
      </w:r>
    </w:p>
    <w:p>
      <w:r>
        <w:t>che il grado della prova richiesto dall'art.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(v. sentenza 9C_68/2007 del 19 ottobre 2007 consid. 4.4 con riferimenti; cfr. pure SVR 2003 IV no. 25 pag. 76, consid. 2.2 [I 238/02]).</w:t>
      </w:r>
    </w:p>
    <w:p>
      <w:r>
        <w:t>2.3 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dei fatti determinanti (DTF 125 V 410consid. 2b pag. 412;117 V 198consid. 4b pag. 200 con riferimenti).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108consid. 2b pag. 114; cfr. pure SVR 2003 IV no. 25 pag. 76, consid. 2.2). Giudice che per il resto deve limitarsi ad esaminare la situazione secondo lo stato di fatto che si presentava al momento in cui l'amministrazione ha statuito (sentenza del Tribunale federale delle assicurazioni I 52/03 del 16 gennaio 2004 consid. 2.2).</w:t>
      </w:r>
    </w:p>
    <w:p>
      <w:r>
        <w:t>Secondo la cifra 5004 della Circolare sullinvalidità e la grande invalidità nellassicurazione per linvalidità (CIGI) i principi di revisione si applicano alle rendite correnti dinvalidità; alle rendite correnti di vecchiaia versate per invalidità del / della coniuge, oppure se una rendita è stata respinta per insufficiente grado dinvalidità. La persona assicurata deve, nella sua nuova domanda di rendita, rendere plausibili i motivi della revisione (art. 87 cpv. 4 OAI; cfr. N. 2026 e N. 5013; RCC 1984 p. 355 e 364, 1983 p. 491, 1981 p. 123).</w:t>
      </w:r>
    </w:p>
    <w:p>
      <w:r>
        <w:t>La cifra 5005 CIGI prevede che esiste un motivo di revisione, ossia una modifica della situazione determinante per il diritto alle prestazioni, in particolare nei seguenti casi: miglioramento o peggioramento (p. es. anche in caso di una cronicizzazione; RCC 1989 p. 282) dello stato di salute; la ripresa o la cessazione dellattività lucrativa; laumento o la diminuzione del reddito dinvalido o di persona non invalida; la modifica della capacità di svolgere le mansioni consuete (ad. es. aumento della capacità lavorativa di una persona attiva nella propria economia domestica grazie allimpiego di mezzi ausiliari).</w:t>
      </w:r>
    </w:p>
    <w:p>
      <w:r>
        <w:t>Infine secondo la cifra 5014, lUfficio AI verifica la plausibilità della domanda: se la persona assicurata non ha motivato plausibilmente la domanda di revisione, lUfficio AI non entra nel merito della domanda, non procede ad accertamenti ed emana una decisione di non entrata in materia (RCC 1985 p. 332, 1984 p. 364, 1983 p. 382).</w:t>
      </w:r>
    </w:p>
    <w:p>
      <w:r>
        <w:t>2.3.Nel caso in esame, avendo lUAI emanato una decisione di non entrata in materia, ilTCA è unicamente chiamato a stabilire se lamministrazione ha correttamente oppure no rifiutato di esaminare il merito della richiesta.</w:t>
      </w:r>
    </w:p>
    <w:p>
      <w:r>
        <w:t>Dal punto di vista psichico, le condizioni di salute del ricorrente erano state invece indagate dal Dr. __________, spec. FMH in psichiatria e psicoterapia, il quale aveva concluso che egli non presentava alcuna diagnosi psichiatrica, segnatamente alcun disturbo somatoforme da dolore cronico (cfr. doc. AI 51-1).</w:t>
      </w:r>
    </w:p>
    <w:p>
      <w:r>
        <w:t>Le conclusioni dellUAI possono essere fatte proprie dal TCA.</w:t>
      </w:r>
    </w:p>
    <w:p>
      <w:r>
        <w:t>Non essendo stata resa verosimile una notevole modifica nelle condizioni di salute e/o economiche dellassicurato, secondo questo Tribunale, giustamente lUAI non è entrato nel merito della nuova richiesta di prestazioni.</w:t>
      </w:r>
    </w:p>
    <w:p>
      <w:r>
        <w:t>Ciò non toglie che, ritenuto come il presente giudizio non pregiudica eventuali suoi diritti nei confronti dellAI insorti in epoca successiva alla data decisiva del provvedimento in lite, il quale delimita il potere cognitivo del giudice (cfr. DTF 130 V 140 e 129 V 4), il ricorrente ha se del caso la facoltà di presentare unulteriore nuova domanda di prestazioni, adducendo una rilevante modifica della situazione valetudinaria ed allegando la pertinente documentazione medica relativa ad eventuali nuovi o maggiori disturbi che potrebbero influire sul grado dinabilità.</w:t>
      </w:r>
    </w:p>
    <w:p>
      <w:r>
        <w:rPr>
          <w:b/>
        </w:rPr>
        <w:t>E. 31</w:t>
      </w:r>
    </w:p>
    <w:p>
      <w:r>
        <w:t>gennaio 2011 del Dr. __________, spec. FMH in reumatologia, il quale aveva diagnosticato una gonartrosi prevalentemente mediale a destra in esiti di meniscectomia laterale parziale e di resezione parziale del corno posteriore del menisco mediale, una lesione del legamento crociato anteriore a destra, come pure obesità (doc. AI 49-7). Secondo il perito, l’assicurato era in grado di riprendere il lavoro di operaio agricolo con però una riduzione di rendimento del 20%, mentre in un’attività alternativa adeguata - leggera per quanto riguarda il sollevamento/trasporto di carichi, da svolgere in posizione prevalentemente seduta e in cui non debba spostarsi per oltre 50 metri oppure su terreno accidentato (cfr. doc. 49, p. 9) -, l’insorgente aveva una capacità lavorativa completa con un rendimento massimo del 100%, già a contare dal 1° aprile 2010 (doc. AI 49-8). Dal punto di vista psichico, le condizioni di salute del ricorrente erano state invece indagate dal Dr. __________, spec. FMH in psichiatria e psicoterapia, il quale aveva concluso che egli non presentava alcuna diagnosi psichiatrica, segnatamente alcun disturbo somatoforme da dolore cronico (cfr. doc. AI 51-1). Con la nuova domanda di prestazioni del 27 maggio 2014 l’assicurato ha prodotto un rapporto del 29 aprile 2014 del Dr. __________ e del Dr. __________ della __________ di __________ che hanno diagnosticato: “Persistierende anteriore Knieschmerzen rechts mit/bei: -   VKB-Ruptur vom 24.07.2009 -   Pa-Translations- und Innenrotationsinstabilität -   St. n. dreimaliger Kniearthroskopie, anamnestisch jeweils mit medialer Teilmenisktomie (am 29.07.2009, 21.12.2009 und 28.03.2013) -   tendenziellem Patellatiefstand -   schmerzhaftem Springen der Patella beim übergang Flexion → Extension” (doc. AI 97-1). I sanitari della __________ hanno quindi rilevato quanto segue: " Beurteilung und Prozedere: (vidit et dixit Dr. med. __________) Seit einer Kniedistorsion rechts vor bald 5 Jahren leidet der 50- jährige adipöse Patient unter persistierenden anterioren Knieschmerzen rechts mit Instabilität. Diese manifestiert sich insbesondere in der posteroanterioren Richtung und schwächer auch in der Innenrotation. Unsere Erfahrung zeigt, dass sich solche Konstellationen bei Patienten im mittleren Lebensalter ohne sportlichen Ambitionen mittels konsequentem Muskelaufbau normalerweise kompensieren lassen. Insofern empfehlen wir für 6 Monate ein forciertes Krafttraining in Form einer medizinischen Trainingstherapie zum Aufbau der Knieextensoren und Flexoren. Auf passive Massnahmen durch dem Physiotherapie soll grösstenteils verzichtet werden. Eine erste MTT-Verordnung wurde heute ausgestellt. Wir bitten den Hausarzt um die Ausstellung einer Folgeverordnung in 3 Monaten. Gegebenenfalls wird zum Durchführen der Übungen initial auch eine ausreichende analgetische Therapie notwendig sein. In 6 Monaten erneute klinische und radiologische Kontrolle in unserer Sprechstunde. Was die Versicherungssituation angeht, sind wir durchaus der Ansicht, dass die Beschwerden durch den Unfall vor 5 Jahren hervorgerufen wurden. Insofern bitten wir die Unfallversicherung, die Kosten der medizinischen Trainingstherapie zuùbernehmen” (doc. AI 97-2). Il referto della __________ è stato sottoposto alla valutazione del Servizio Medico Regionale (SMR) dell’AI. Nell’annotazione del 18 luglio 2014 il Dr. __________ ha concluso che “ l’oggettività clinica è invariata rispetto alla visita precedente con rotula a scatto al passaggio da flessione in estensione del ginocchio destro. Si ritiene che la patologia sia di origine post-traumatica (infortunio di 5 anni or sono). Si propone la continuazione della terapia conservativa. Dal rapporto emerge inoltre che l’assicurato è stato sottoposto ad un’ulteriore meniscectomia sempre al ginocchio destro, la quale ha causato, come i due interventi precedenti analoghi, un’inabilità lavorativa della durata non superiore al tre mesi. Non si giustifica l’entrata in materia ” (doc. AI 99-1). L’assicurato ha quindi prodotto, in sede di osservazioni al progetto di decisione del 21 luglio 2014, lo scritto datato 30 giugno 2014 del medico curante Dr. __________, medico generalista, all’indirizzo dell’assicuratore infortuni, che ha ricordato come “ in questi anni il sig. RI 1 ha sempre avuto problemi con il ginocchio destro ”. Egli ha quindi riferito della visita svolta presso la __________, in cui “ si è disposto un piano di cure di fisioterapia e rinforzo muscolare in regime ambulatoriale nell’arco di 6 mesi”. Dopo questa cura, precisa sempre il medico curante: “ avverrà un nuovo controllo a __________. L’intenzione dei medici è quella di ottenere il massimo risultato con un trattamento conservativo prima di intraprendere nuove misure ”. Il Dr. __________ ha quindi invitato l’assicuratore infortuni __________ a riaprire il caso in considerazione del “ nesso causale tra l’incidente del 2009 e lo stato attuale clinico del paziente ” (doc. AI 103-3). Anche su questo rapporto ha preso posizione il Dr. __________ del SMR non rilevando nuovi elementi per entrare nel merito del caso (doc. AI 106-1). Le conclusioni dell’UAI possono essere fatte proprie dal TCA. Infatti le certificazioni prodotte dal ricorrente, ovvero il referto della __________ e quello del Dr. __________ a non pongono nuove diagnosi e non contengono elementi medici oggettivi atti a rendere verosimile un peggioramento dello stato di salute con influenza sulla sua capacità lavorativa rispetto alla situazione esistente il 12 dicembre 2011, quando è stata emessa la decisione di diniego delle prestazioni (doc. AI 78-1). Non permette una diversa valutazione della fattispecie neppure il rapporto di fisioterapia trasmesso a questa Corte il 16 aprile 2015, dal quale emergono cure fisioterapiche e di rinforzo muscolare di natura conservativa (cfr. anche le osservazioni dell’UAI del 24 aprile 2015, doc. XVII). La sola circostanza che il caso sia stato riaperto in ambito LAINF, non è elemento sufficiente per permettere una diversa valutazione della fattispecie che ci occupa. Non essendo stata resa verosimile una notevole modifica nelle condizioni di salute e/o economiche dell’assicurato, secondo questo Tribunale, giustamente l’UAI non è entrato nel merito della nuova richiesta di prestazioni. Ciò non toglie che, ritenuto come il presente giudizio non pregiudica eventuali suoi diritti nei confronti dell’AI insorti in epoca successiva alla data decisiva del provvedimento in lite, il quale delimita il potere cognitivo del giudice (cfr. DTF 130 V 140 e 129 V 4), il ricorrente ha se del caso la facoltà di presentare un’ulteriore nuova domanda di prestazioni, adducendo una rilevante modifica della situazione valetudinaria ed allegando la pertinente documentazione medica relativa ad eventuali nuovi o maggiori disturbi che potrebbero influire sul grado d’inabilità. 2.4.   Deve ancora essere verificato se il ricorrente può essere posto al beneficio dell’assistenza giudiziaria con il gratuito patrocinio (cfr. doc. II+bis).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Nella presente fattispecie la vertenza era palesemente priva di esito favorevole, in quanto la situazione valetudinaria dell’interessato - come espressamente indicato dal medico del SMR - non ha subìto delle modifiche rispetto al passato, in grado di giustificare un’entrata in materia. In simili condizioni, non essendo realizzato nel caso in esame uno dei tre presupposti cumulativi, la domanda di assistenza giudiziaria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