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32.2014.165 vom 8. Juli 2014</w:t>
      </w:r>
    </w:p>
    <w:p>
      <w:r>
        <w:t>TI Tribunale d'appello, 2014-07-08, IT</w:t>
      </w:r>
    </w:p>
    <w:p>
      <w:r>
        <w:rPr>
          <w:b/>
        </w:rPr>
        <w:t xml:space="preserve">Quelle: </w:t>
      </w:r>
      <w:r>
        <w:t>https://mcp.opencaselaw.ch/entscheid/ti_gerichte_32.2014.165</w:t>
      </w:r>
    </w:p>
    <w:p>
      <w:r>
        <w:t>FR: TI_GERICHTE 32.2014.165 du 8 juillet 2014</w:t>
      </w:r>
    </w:p>
    <w:p>
      <w:r>
        <w:t>IT: TI_GERICHTE 32.2014.165 del 8 luglio 2014</w:t>
      </w:r>
    </w:p>
    <w:p>
      <w:pPr>
        <w:pStyle w:val="Heading2"/>
      </w:pPr>
      <w:r>
        <w:t>Regeste</w:t>
      </w:r>
    </w:p>
    <w:p>
      <w:r>
        <w:t>Ricorso tardivo. La decisione contestata è stata validamente intimata al rappresentante dell'assicurata ed il ricorso presentato dall'assicurata stessa è risultato essere tardivo e quindi dichiarato irricevibile</w:t>
      </w:r>
    </w:p>
    <w:p>
      <w:pPr>
        <w:pStyle w:val="Heading2"/>
      </w:pPr>
      <w:r>
        <w:t>Erwägungen</w:t>
      </w:r>
    </w:p>
    <w:p>
      <w:r>
        <w:rPr>
          <w:b/>
        </w:rPr>
        <w:t>E. 18</w:t>
      </w:r>
    </w:p>
    <w:p>
      <w:r>
        <w:t>gennaio 2000; DTF 123 V 106 consid. 2a; 114 V 123 consid. 3b).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STFA I 393/01 del 21 novembre 2001; Kieser, ATSG-Kommentar, Schultess 2009, N. 4 ad art. 41, pag. 526; Kieser, Das Verwaltungsverfahren in der Sozialversicherung, 1999, pagg. 170s.; Kölz/Häner, Verwaltungsverfahren und Verwaltungsrechtspflege des Bundes, 1998, n. 151). I l TCA constata che dal gravame non emerge alcun valido motivo che possa giustificare la restituzione del termine di ricorso. Certo, l’assicurata imputa al suo legale la mancata conoscenza della decisione resa l’8 luglio 2014, rispettivamente l’omissione di non aver inoltrato tempestivamente ricorso. Tuttavia, si ricorda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ciò che corrisponde al caso in esame. L’eventuale pregiudizio subìto dall’assicurata a dipendenza dell’agire del suo rappresentante potrà quindi se del caso (nella misura in cui vi sia una violazione degli obblighi derivanti dal rapporto di mandato) essere addebitato a quest’ultimo. Visto quanto sopra, il ricorso è irricevibile, poiché tardivo.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procedura, pari a fr. 200.--, sono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