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32.2014.155 vom 29. September 2014</w:t>
      </w:r>
    </w:p>
    <w:p>
      <w:r>
        <w:t>TI Tribunale d'appello, 2014-09-29, IT</w:t>
      </w:r>
    </w:p>
    <w:p>
      <w:r>
        <w:rPr>
          <w:b/>
        </w:rPr>
        <w:t xml:space="preserve">Quelle: </w:t>
      </w:r>
      <w:r>
        <w:t>https://mcp.opencaselaw.ch/entscheid/ti_gerichte_32.2014.155</w:t>
      </w:r>
    </w:p>
    <w:p>
      <w:r>
        <w:t>FR: TI_GERICHTE 32.2014.155 du 29 septembre 2014</w:t>
      </w:r>
    </w:p>
    <w:p>
      <w:r>
        <w:t>IT: TI_GERICHTE 32.2014.155 del 29 settembre 2014</w:t>
      </w:r>
    </w:p>
    <w:p>
      <w:pPr>
        <w:pStyle w:val="Heading2"/>
      </w:pPr>
      <w:r>
        <w:t>Regeste</w:t>
      </w:r>
    </w:p>
    <w:p>
      <w:r>
        <w:t>Rinvio per approfondimento medico peritale inteso a delucidare l'incidenza rispettiva dei gradi d'incapacità lavorativa attestati in ambito pneumologico, infettivo e psichiatrico</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l’amministrazione era legittimata a negare all’assicurato il diritto a prestazioni dell’assicurazione invalidità oppure no.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bensi il suo contenuto (DTF 122 V 160 in fine con rinvii).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 Per mettere in pratica quanto prescritto all’art. 72bis cpv.2 OAI l’UFAS ha allestito il sistema di attribuzione “Suisse MED@P” (cfr. R. Kocher, SuisseMed@P a deux ans: où en sommes-nous?” in Sécurité sociale 5/2014, pag. 288 e seg.; vedi DTF 138 V 271). In una sentenza pubblicata in DTF 140 V 508, consid. 3.1 e 3.2.1. il Tribunale federale ha ribadito che la scelta del perito in ambito di perizie mediche pluridisciplinari deve sempre avvenire secondo il metodo aleatorio (vedi pure DTF 139 V 349 consid. 5.2.1; DTF 138 V 271 consid. 1.1.).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cosi costantemente la necessità di tenere conto della differenza, a livello probatorio, tra mandato di cura e mandato peritale (cfr. STF 9C_697/2013 del 15 novembre 2013 consid. 3.2.; 9C_721/2012 del 24 ottobre 2012 consid. 4.4. con riferimenti; 9C_457/2012 del 28 agosto 2012, consid. 6.2.). 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 3.3.1; D. Cattaneo, in “Les expertises en droit des assurances sociales”, in Cahiers genevois et romands de sécurité sociale n° 44-2010 pag. 124). 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in esame, con lo scopo di accertare in maniera approfondita lo stato di salute dell’assicurato, l’Ufficio AI ha affidato al SAM il mandato di esperire una perizia pluridisciplinare. In tale ambito i medici del SAM hanno valutato la patologia psichiatrica (Dr.ssa __________), quella pneumologica (Dr. __________) e quella internistica-infettivologica (Dr. ssa __________). Globalmente, nel rapporto peritale del 28 novembre 2011, i medici del SAM, sulla base delle risultanze dei singoli consulti e delle visite ambulatoriali del ricorrente presso il citato centro d’accertamento, hanno posto la seguente diagnosi con influenza sulla capacità lavorativa: “ Disturbo ventilatorio ostruttivo lieve con: -probabile BPCO GOLD 1; - verosimile asma allergica con attualmente reversibilità parziale; - stato da micobatteriosi polmonare tra il 2002-2004. Dispnea da sforzo NYHA ll di origine multifattoriale: - nel contesto della diagnosi 1; decondizionamento fisico importante; non escludibile con sicurezza componente d'ipertensione polmonare (nel contesto dell'HIV ed eventualmente dell'incipiente cirrosi epatica). Malattia HIV probabilmente stadio CDC C3 con: - diagnosi 1982; - infezione a micobatteri non tubercolari in marzo 2002; - grave cachessia, probabile wasting 2002; - polmonite batterica 2003; candidosi orale recidivante; - terapia antiretrovirale: attualmente D4T + 3TC + Saquinavir/Ritonarvir dal 2006; - CD4 attuali 693 cellule/ µl, viremia attuale &lt; 20 copie/ml (18.7.2011). Epatite cronica di genotipo 4 con probabile cirrosi epatica CHILD A: - epatopatia; - aumento delle alfafetoproteine a 40 ng/ml aprile 2010; 64,3 ng/ml luglio 2011 (vn &lt;10); - epatomegalia, fegato a margini arrotondati, aspetto steatosico, splenomegalia (sonografia epatica aprile 2011) ” (doc. AI 42-15). Quale diagnosi senza influenza sulla capacità lavorativa i periti hanno indicato: “ Poliglobulia con il 22.3.2011: emoglobina 17,3 g/dl ed ematocrito 49,4% probabilmente nel contesto di 1 o 2. Stato da micobatteriosi atipica polmonare con: pregressa cachessia marcata, due recidive con trattamento antibiotico prolungato anche endovenoso con la risoluzione della problematica infettiva; probabili piccole bronchiectasie nel lobo medio a ds. come residuo. Disturbi cognitivi di attenzione, concentrazione e memoria con: - tono dell'umore deflesso in parte di origine reattiva; - possibile componente di encefalopatia HIV; - pregressa tossicodipendenza. - Pregresso abuso di sostanze psicoattive multiple, pregresso uso dannoso di etile, attualmente consumo di ca. 40-50 dl di alcol al giorno. Tabagismo attivo. Gonalgia, artroscopia al ginocchio sin. alcuni anni fa. Colecistolitiasi. Verruche alle mani. Rottura del timpano a sin. con ipoacusia. Pregressa epatite B. Stato dentale in pessime condizioni. Stato da tonsillectomia. Emorroidi ” (doc. AI 42-15+16). Quanto alla capacità lavorativa medico – teorica globale, i medici del SAM hanno ritenuto l’assicurato inabile al lavoro nella misura del 100% nell’ultima attività di carrozziere dal 1° ottobre 2010, mentre in un lavoro leggero l’abilità è del 50%, sempre dal 1° ottobre 2010 (doc. AI 42-21+22). Il caso è stato quindi aggiornato e sottoposto nuovamente al SAM, per valutazione, in data 23 aprile 2012 (doc. AI 62-1), 12 settembre 2012 (doc. AI 72-1) e 2 aprile 2013. Nel rapporto del 2 aprile 2013 i periti del SAM si sono espressi sul decorso dello stato di salute dell’assicurato, in questi termini: “(…) Con la presente e sulla base degli atti a nostra disposizione ci esprimiamo sul decorso dello stato di salute e sulla capacità lavorativa di questo A. Ricordiamo come nella nostra presa di posizione del 23.4.2012 per quanto riguarda la capacità lavorativa avevamo consigliato di mantenere le conclusioni della perizia SAM del 28.11.2011 fino all'11.11.2011. A partire dal 12 fino al 27.11.2011 (periodo d'ospedalizzazione dell'A.) andava ritenuto inabile al lavoro al 100%. In questa sede, quindi ci esprimeremo sulla capacità lavorativa dell'A. in un mestiere adatto a partire dal 28.11.2011. Ricordo come, per quanto riguarda la sua antecedente professione di operaio addetto alla manutenzione di autobus, l'A. veniva valutato inabile al lavoro in modo totale. Per quanto riguarda la problematica epatica in A. portatore di cirrosi epatica su epatite C cronica ed infezione di HIV, le lesioni al fegato si sono rivelate di natura benigna e non come inizialmente si pensava relativa ad un epatocarcinoma (dato rilevato dall'atto medico del 9.1.2013, in assenza però del referto di biopsia). L'A. è stato sottoposto ad intervento di epatectomia presso la __________ (atto 22.12.2012) dal 12.11 al 22.11.2012 (per questo periodo vale un'incapacità lavorativa totale). Per quanto riguarda la cura dell'epatite C, gli atti medici a nostra disposizione, soprattutto quello del Prof. Dr. med. __________, non ci informano se nel frattempo l'A. sia stato sottoposto a terapia anti epatite C con Interferone peghilato e Rivabirina per un periodo di 48 settimane cosi come era previsto (atto 29.2.2012). Oltre al periodo di incapacità lavorativa dovuto all'ospedalizzazione per l'intervento al fegato, qualora I'A. si fosse sottoposto alla terapia anti epatite C, bisognerebbe considerare anche un'inabilità lavorativa durante il periodo delle cure di 48 settimane più ancora 15 giorni ca. per una ripresa dello stato generale dopo le cure. Per quanto riguarda il problema dell'HlV, il rapporto medico del 9.1.2013 ci informa che nel corso del 2012 non vi sarebbero stati episodi di infezioni opportunistiche maggiori o minori. Per quanto riguarda la problematica dermatologica e dei condilomi anali, secondo il rapporto medico del Dr. med. __________ del 28.5.2012 la situazione clinica si sta Ientamente sanando. Non riteniamo che questa patologia infici sulla capacità lavorativa dell'A. Globalmente, dunque, sulla base degli atti a nostra disposizione possiamo confermare come vi sia stato un peggioramento dello stato di salute nel periodo compreso della degenza ospedaliera per l'intervento di epatocarcinoma dal 12 al 22.11.2012. Dalle informazioni a nostra disposiziorie non c'è dato di sapere se nel frattempo sia stata eseguita una terapia anti epatite C che prolungherebbe per un periodo di 48 settimarie più 15 giorni l'incapacità lavorativa totale. Al di fuori di questi periodi lo stato di salute sembra essere rimasto invariato come da perizia SAM 2011” (doc. AI 95-4+5). Nel mese di maggio 2014, l’UAI ha quindi predisposto un’ulteriore valutazione psichiatrica da parte del Centro Peritale per le Assicurazioni Sociali (CPAS) che ha confermato l’inabilità al 100% nella precedente attività di carrozziere e indicato un’inabilità del 60% in attività adeguate dal 23 novembre 2012 (doc. AI 133-1). L’Ufficio AI ha quindi respinto la richiesta di prestazioni dell’assicurato, in assenza di una perdita di guadagno (doc. AI 137-1). 2.6.   Nella concreta fattispecie, chiamato a verificare innanzitutto se lo stato di salute del ricorrente è stato accuratamente vagliato dall’UAI prima dell’emissione della decisione qui impugnata, dopo attenta analisi della documentazione medica agli atti, questo TCA non può confermare l’operato dell’amministrazione, per le ragioni che seguono. 2.6.1.   Per quanto riguarda la patologia polmonare l’assicurato è stato sottoposto ad una valutazione specialistica da parte del Dr. __________, spec. FMH in malattie polmonari, il quale nel referto del 29 agosto 2011 ha posto la diagnosi di: “ 1. Disturbo ventilatorio ostruttivo lieve con: - probabile BPCO GOLD 1; - verosimile asma allergica con attualmente reversibilità parziale; - stato da micobatteriosi polmonare tra il 2002-2004. 2. Dispnea da sforzo NYHA ll di origine multifattoriale: - nel contesto della diagnosi 1 - decondizionamento fisico importante - non escludibile con sicurezza componente d'ipertensione polmonare (nel contesto dell'HIV ed eventualmente dell'incipiente cirrosi epatica) 3. Poliglobulia con il 22.3.2011: emoglobina 17,3 g/dl ed ematocrito 49,4% probabilmente nel contesto di 1 o 2. 4. Stato da micobatteriosi atipica polmonare con: - pregressa cachessia marcata, due recidive con trattamento antibiotico prolungato anche endovenoso con la risoluzione della problematica infettiva; - probabili piccole bronchiectasie nel lobo medio a ds. come residuo ” (doc. AI 42-35). Secondo il Dr. __________ l’assicurato è inabile al 100%, quale verniciatore-carrozziere dal 2002, mentre dal punto di vista respiratorio è ritenuto abile al 100% in attività “ con sforzi fisici molto lievi e soprattutto sedentari ” (doc. AI 42-36+37). Il TCA non ha motivi per scostarsi da questa valutazione. 2.6.2.   Per quanto riguarda la patologia internistica-infettivologa l’assicurato è stato sottoposto ad una valutazione specialistica da parte del Dr.ssa __________, vice-primario di medicina interna dell’Ospedale __________ di Locarno, la quale nella valutazione dell’8 agosto 2011 ha diagnosticato: “ 1. Malattia HIV probabilmente stadio CDC C3 con: - diagnosi 1982; - infezione a micobatteri non tubercolari in marzo 2002; - grave cachessia, probabile wasting 2002; - polmonite batterica 2003; candidosi orale recidivante; - terapia antiretrovirale: AZT + DDI (97-99), fallimento virologico; D4T + 3TC + Indinavir 1999-3.2001; D4T+3TC + Saquinavir/Ritonarvir dal 2006 a tuttora - CD4 attuali 693 cellule/µl, viremia attuale &lt; 20 copie/ml (18.7.2011). 2. Epatite cronica di genotipo 4 con probabile cirrosi epatica CHILD A: - epatopatia; - aumento delle alfafetoproteine a 40 ng/ml aprile 2010; 64,3 ng/ml luglio 2011 (vn &lt;10); - epatomegalia, fegato a margini arrotondati, aspetto steatosico, splenomegalia (sonografia epatica 4.2011). 3. Disturbi cognitivi di attenzione, concentrazione e memoria con: - tono dell'umore deflesso in parte di origine reattiva; - possibile componente di encefalopatia HIV; - pregressa tossicodipendenza. 4. Probabile BPCO: - abuso nicotinico, 30 py; - bronchiti recidivanti. 5. Pregresso abuso di sostanze psicoattive multiple, pregresso uso dannoso di etile, attualmente consumo di ca. 40-50 dl di alcol al giorno. ” (doc. AI 42-28+29). Dal punto di vista della capacità lavorativa l’assicurato è ritenuto abile al 50% in un’attività leggera (doc. AI 42-32). Il TCA non ha motivi per scostarsi neppure da questa valutazione. 2.6.3.   Per quanto riguarda infine la patologia psichiatrica, l’assicurato è stato sottoposto a una prima valutazione specialistica da parte della Dr.ssa __________, medico chirurgo – specialista in psichiatria, che in data 3 luglio 2011 non ha posto alcuna diagnosi psichiatrica rilevando che l’assicurato è pienamente abile in ogni attività (doc. AI 42-26). L’aspetto psichiatrico è stato tuttavia aggiornato nel 2012 tramite una valutazione del CPAS (cfr. consid. 2.8.4). 2.6.4.   Globalmente i periti del SAM hanno quindi concluso che le conseguenze sulla capacità lavorativa dell’assicurato sono dovute alla patologia pneumologica ed infettivologica che determinano complessivamente un’inabilità lavorativa completa dal 1° ottobre 2010, ovvero dal momento che l’assicurato smette di lavorare. Mentre antecedentemente egli è ritenuto abile al 100%. In attività adeguate l’abilità lavorativa è invece del 50%, sempre dal 1° ottobre 2010, a causa della patologia infettiva (doc. AI 42-22). Nel rapporto finale del SMR del 5 dicembre 2011 il Dr. __________ ha ripreso le conclusioni del SAM (doc. AI 43-1). Il SAM ha quindi aggiornato lo stato di salute dell’assicurato, una prima volta il 23 aprile 2012, quando i periti hanno confermato le conclusioni della perizia SAM sino all’11 novembre 2011 e fissato un’inabilità lavorativa del 100% dal 12 al 27 novembre 2011, a causa dell’ospedalizzazione di RI 1 (doc. AI 62-1), poi il 12 settembre 2012 (doc. AI 72-1) e infine in data 2 aprile 2013. In quest’ultimo rapporto i periti hanno indicato un’inabilità lavorativa del 100% dal 12 al 22 novembre 2012, per un intervento di epatectomia subìto dal ricorrente. Al di fuori dei periodi indicati il SAM ha confermato la valutazione del 28 novembre 2011 (doc. AI 95-4+5). 2.6.5.   Vista la nuova documentazione medica prodotta dall’assicurato, l’amministrazione, nel mese di maggio 2014, ha predisposto una nuova valutazione psichiatrica ad opera della Dr.ssa __________ del Centro Peritale per le Assicurazioni Sociali (CPAS) (doc. AI 130-1, 131-1). Nella perizia del 18 giugno 2014 la Dr.ssa __________ ha diagnosticato con ripercussioni sulla capacità lavorativa una “ Sindrome depressiva ricorrente, attuale episodio di gravità media (ICD 10; F33.1) ” (doc. AI 133-11). A mente della perita, RI 1 è inabile al lavoro al 100% nella sua precedente professione di verniciatore-carrozziere, mentre in attività adeguate l’inabilità è del 60% (doc. AI 133-13). Nel rapporto finale SMR dell’11 luglio 2014 il Dr. __________ ha quindi riassunto i periodi di inabilità lavorativa come segue (doc. AI 134-3): Nella precedente attività svolta: 100%  dal 1° ottobre 2010. In attività adeguate: 50%   dal 1° ottobre 2010; 100%   dal 12 novembre 2011; 50%   dal 28 novembre 2011; 100%   dal 12 novembre 2012; 60%   dal 23 novembre 2012. 2.7.   Alla luce della documentazione medica suindicata, il TCA non condivide le conclusioni alle quali è giunta l’amministrazione, dato che i diversi specialisti – in particolare quelli del SAM unitamente a quelli del CPAS – non hanno esaminato, tramite una discussione collegiale, la questione dell’incidenza rispettiva dei gradi di incapacità lavorativa attestati dal profilo somatico e da quello psichiatrico. Il TCA rileva, innanzitutto, che nel referto peritale del 28 novembre 2011 i periti del SAM hanno chiaramente indicato che l’assicurato presenta delle patologie di origine somatica che influiscono sulla sua capacità lavorativa residua: “ Le limitazioni constatate sono dovute alla patologia pneumologica ed infettivologica ”. A quel momento, dal lato psichiatrico non vi era inabilità lavorativa (doc. AI 42-21). Dunque, nel novembre 2011 vi era un’inabilità lavorativa completa, dal 1° ottobre 2010 nell’attività abituale, e un’abilità lavorativa del 50% in attività adeguate, a causa della patologia infettiva (doc. AI 42-22). Nel mese di maggio 2014, l’UAI ha però predisposto una nuova valutazione psichiatrica ad opera della Dr.ssa __________, la quale ha ritenuto RI 1 inabile al lavoro al 100% nella sua precedente professione di verniciatore-carrozziere e inabile al 60% in attività adeguate (doc. AI 133-13). Nonostante i periti del SAM abbiano specificatamente riconosciuto che la capacità lavorativa residua dell’assicurato subisca delle limitazioni dal lato somatico, l’amministrazione ha poi omesso – in contrasto con la chiara giurisprudenza del Tribunale federale – di procedere ad una discussione collegiale, dopo gli esiti della valutazione psichiatrica della Dr.ssa __________, volta a stabilire il grado di incapacità lavorativa globale dell’interessato, tenuto conto di tutti gli aspetti invalidanti. A proposito della valutazione globale delle patologie, va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del dibattimento che ha avuto luogo il 16 maggio 2013. Alla luce delle risultanze della discussione del 16 maggio 2013 fra il perito reumatologo e il perito psichiatra giudiziario, alla presenza delle parti e dei medici del SMR, questo Tribunale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In una sentenza 9C_262/2013 del 5 giugno 2013 il Tribunale federale ha stabilito che la valutazione globale delle patologie dell’assicurato può anche essere effettuata per via di circolazione. In una sentenza 9C_362/2014 del 19 agosto 2014 il Tribunale federale ha annullato il giudizio di questa Corte che aveva stabilito direttamente l’entità del cumulo delle percentuali di inabilità lavorativa negli ambiti neurologico e reumatologico e fissato al 40% il tasso d’incapacità lavorativa globale. Secondo l’Alta Corte, il TCA poteva senza arbitrio dubitare dell’attendibilità della valutazione del SAM sul grado complessivo di incapacità lavorativa, ma non poteva fissare autonomamente, in mancanza di dati medico-specialistici al riguardo, l’entità del cumulo, essendo questa una questione di ordine squisitamente medico. La questione è stata affrontata e risolta dal Presidente del TCA in udienza, nel corso della quale il perito neurologo e quello reumatologo, dopo discussione, hanno nuovamente ribadito i motivi per cui ritengono che i due gradi di inabilità siano, seppure in misura estremamente ridotta, cumulabili ed hanno concluso che da un profilo medico questa cumulabilità sia ragionevolmente fissabile tra il 5 e il 10%. Le parti sono quindi giunte ad una soluzione transattiva della vertenza (cfr. decreto di stralcio, inc. 32.2014.116). In una sentenza 32.2014.112 del 24 novembre 2014, cresciuta incontestata in giudicato, il TCA, dopo avere interpellato la Dr.ssa __________ del SAM in merito alle modalità della discussione globale, ha già avuto modo di considerare corretta una discussione plenaria eseguita dai periti del SAM per il tramite di teleconferenza. Ad un’analoga conclusione il TCA è giunto nella sentenza 32.2012.55 del 29 gennaio 2015, cresciuta incontestata in giudicato. Ora, nella fattispecie oggetto della presente controversia, il TCA constata che, nonostante le molteplici patologie che affliggono l’interessato, con influenza sulla sua capacità lavorativa, una discussione fra tutti gli specialisti interessati – di fondamentale importanza, è bene ribadirlo – non ha avuto luogo dopo la valutazione psichiatrica della Dr.ssa __________ del CPAS che ha ritenuto RI 1 inabile al lavoro al 100% nella sua precedente professione di verniciatore-carrozziere e soprattutto inabile al 60% in attività adeguate (doc. AI 133-13). Agli atti figura unicamente il rapporto finale del Dr. __________ del SMR che riassume la situazione medica, le diagnosi e i periodi di inabilità lavorativa (vedi consid. 2.6.5.), senza alcuna indicazione circa la valutazione globale delle patologie che affliggono l’assicurato. Va inoltre evidenziato che nel rapporto del 14 aprile 2014 il medico curante dell’assicurato, Dr. __________, spec. FMH in psichiatria e psicoterapia, ha indicato di seguire il paziente dal mese di novembre 2011, ovvero poco dopo il consulto psichiatrico con la Dr.ssa __________, fissando un’inabilità al lavoro completa (100%). In simili condizioni, secondo questo Tribunale non è possibile - senza prima procedere ad un complemento peritale da parte di dei periti del SAM e del CPAS che hanno avuto modo di valutare l’interessato - concludere con sufficiente tranquillità che lo stato valetudinario dell’assicurato, tenuto conto degli aspetti pneumologici, infettivi e psichici, giustifichi una capacità lavorativa globale del 60% in attività adeguate dal 23 novembre 2012 come indicato dal Dr. __________ del SMR (cfr. rapporto dell11 luglio 2014, doc. AI 134-1) e ripreso nella decisione impugnata (doc. AI 137-1). 2.8.   Nella già citata sentenza 9C_243/2010 del 28 giugno 2011 (cfr. consid. 2.4.)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 si giustifica il rinvio degli atti all’UAI ai sensi della giurisprudenza citata. La decisione impugnata va quindi annullata e l'incarto retrocesso all'Ufficio AI, affinché metta in atto un approfondimento a livello medico peritale tra tutti i consulenti del SAM e del CPAS che hanno avuto modo di visitare il ricorrente, inteso a delucidare l’incidenza rispettiva dei gradi di incapacità lavorativa attestati in ambito pneumologico, infettivo e psichiatrico. Quindi, in esito a tale complemento istruttorio, l’amministrazione si pronuncerà nuovamente sul diritto alla rendita dell’assicurato. 2.9.   Visto l'esito favorevole del ricorso, l'assicurato, rappresentato dall’RA 1, ha diritto al versamento da parte dell’Ufficio AI di fr. 1’800.-- a titolo di ripetibili.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