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32.2014.146 vom 9. Januar 2014</w:t>
      </w:r>
    </w:p>
    <w:p>
      <w:r>
        <w:t>TI Tribunale d'appello, 2014-01-09, IT</w:t>
      </w:r>
    </w:p>
    <w:p>
      <w:r>
        <w:rPr>
          <w:b/>
        </w:rPr>
        <w:t xml:space="preserve">Quelle: </w:t>
      </w:r>
      <w:r>
        <w:t>https://mcp.opencaselaw.ch/entscheid/ti_gerichte_32.2014.146_d20140109</w:t>
      </w:r>
    </w:p>
    <w:p>
      <w:r>
        <w:t>FR: TI_GERICHTE 32.2014.146 du 9 janvier 2014</w:t>
      </w:r>
    </w:p>
    <w:p>
      <w:r>
        <w:t>IT: TI_GERICHTE 32.2014.146 del 9 gennaio 2014</w:t>
      </w:r>
    </w:p>
    <w:p>
      <w:pPr>
        <w:pStyle w:val="Heading2"/>
      </w:pPr>
      <w:r>
        <w:t>Regeste</w:t>
      </w:r>
    </w:p>
    <w:p>
      <w:r>
        <w:t>UAI,sulla base dell'accurata valutazione dei periti del CPAS e dopo raffronto dei redditi,ha correttamente attribuito all'assicurato una rendita intera di invalidità. Perizia psichiatrica prodotta dalla Cassa Pensione ricorrente,peraltro basata solo sugli atti,non probante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al fine di chiarire gli aspetti medici, l’Ufficio AI ha ordinato una perizia psichiatrica a cura del dr. __________ (cfr. doc. 15-1). Il dr. __________, spec. FMH in psichiatria e psicoterapia, nel referto peritale del 9 dicembre 2013, poste le diagnosi con ripercussioni sulla capacità lavorativa di “sindrome da disadattamento con disturbo prevalente di altri aspetti emozionali (ICD10-F43.23) di entità grave; disfunzione vegetativa somatoforme (ICD10-F45.31 e F45.38)” e, quale diagnosi senza ripercussioni sulla capacità di lavoro, quella di “tratti di disturbo di personalità psiconevrotico (ICD10-F60.8)” (doc. 25-7), ha considerato l’assicurato inabile al lavoro nella misura dell’80% a partire dal 1° novembre 2012, con una prognosi sfavorevole (doc. 25-7). La Cassa Pensione ricorrente ha contestato le conclusioni peritali, producendo, a sostegno della richiesta di rivalutazione della fattispecie, una perizia psichiatrica eseguita dal dr. __________, spec. FMH in psichiatria e psicoterapia. Nel referto peritale del 2 giugno 2014 il dr. __________, senza avere visitato personalmente l’assicurato, ma ritenendo la documentazione medica a disposizione esauriente e tale da permettergli di potersi esprimere sulla base degli atti, ha posto le diagnosi di F43.21: disturbo da adattamento con reazione depressiva prolungata da fine maggio 2012; Z56: difficoltà professionali; Z65.1: status dopo arresto nel 2003 (doc. 43-10). Quanto alla capacità lavorativa il dr. __________, posto che l’assicurato non ha mai presentato un disturbo psichiatrico autonomo, ha concluso che è probabile che il signor PI 1 non possa più lavorare presso la __________, ritenendo per contro che egli possa svolgere al 100% un lavoro simile (doc. 43-15). L’Ufficio AI, a fronte delle critiche del dr. __________, ha quindi considerato necessario sottoporre l’interessato ad una visita peritale psichiatrica presso il Centro Peritale per le Assicurazioni Sociali (CPAS). Nel referto peritale del 2 giugno 2014, la dr.ssa __________, spec. FMH in psichiatria e psicoterapia e Direttrice del CPAS e il dr. __________, spec. FMH in psichiatria e psicoterapia e Capo Clinica del CPAS, h anno posto le diagnosi con influenza sulla capacità lavorativa di “1. sindrome post-traumatica da stress, cronica (F43.1); 2. disfunzione vegetativa somatoforme (F45.31; F45.32)” (doc. 57-17). Quanto alla capacità lavorativa medico-teorica globale, gli specialisti del CPAS hanno ritenuto l’assicurato inabile al lavoro nella misura dell’80% nella precedente attività in seno alla __________ e inabile al lavoro nella misura del 60% (tempo ridotto, rendimento pieno) in altre attività adatte (doc. 57-20). Questa valutazione dei medici del CPAS è stata poi confermata dal dr. __________ del SMR nel rapporto finale SMR del 10 giugno 2014 (doc. 99). 2.6. Nell’evenienza concreta, questo Tribunale, chiamato a verificare innanzitutto se lo stato di salute del signor PI 1 è stato accuratamente vagliato dall’amministrazione prima dell’emissione della decisione qui impugnata, non ha motivo per mettere in dubbio la valutazione degli specialisti del CPAS, poi confermata dal dr. __________ del SMR, secondo la quale l’interessato va considerato inabile al lavoro all’80% nella sua precedente professione di __________ e inabile al lavoro al 60% nello svolgimento di attività adatte. Il TCA non può, infatti, condividere la censura ricorsuale di una presunta inadeguata valutazione degli aspetti medici (doc. I). Al riguardo, questo Tribunale rileva che il ricorso verte, in maniera invero assai sorprendente, esclusivamente sulle contestazioni sollevate dal dr. __________ nei confronti delle valutazioni espresse dal dr. __________ e dal dr. __________, senza tuttavia fare riferimento alcuno alla perizia psichiatrica del CPAS, ordinata dall’Ufficio AI proprio a fronte del referto peritale prodotto dall’Istituto di previdenza. Ora, da una parte, il TCA ritiene innanzitutto di non potere prestare adesione alle valutazioni espresse dal dr. __________ nel referto peritale del 7 marzo 2014 , trattandosi di un referto redatto basandosi unicamente sulla documentazione agli atti, senza visitare l’assicurato . È vero che il dr. __________ aveva convocato l’assicurato per una visita, che avrebbe dovuto avere luogo il 20 febbraio 2014, in quel di __________. D’altro canto, il TCA rileva che, con scritto del 16 febbraio 2014 indirizzato allo stesso dr. __________, il dr. Calanchini, dopo avere tentato invano di parlare telefonicamente con il perito designato dalla Cassa Pensioni, ha comunicato al perito che l’assicurato non intendeva assolutamente sottrarsi alla perizia, ma non poteva presentarsi al previsto colloquio peritale, ritenuto che un viaggio a __________ avrebbe notevolmente aggravato il suo stato di salute già precario, come dimostrato dal fatto che la sola convocazione aveva provocato nel signor PI 1 uno stato di tensione notevole. Per tali ragioni mediche, quindi, il dr. __________ aveva proposto al dr. __________ di eseguire la visita peritale a __________, mettendo a disposizione il suo studio medico, oppure di spostare la prevista visita peritale di una settimana, così da consentire allo stesso dr. __________ di accompagnare personalmente l’assicurato presso lo studio medico del perito (cfr. doc. 43-17). Il dr. __________, con scritto del 18 febbraio 2014, ha risposto al dr. __________ di non potere spostare la visita peritale di una settimana, proponendo che l’assicurato si presentasse comunque all’appuntamento fissato, accompagnato da un parente (cfr. doc. 57-5). In un colloquio telefonico del 19 febbraio 2014, il dr. __________ ha ribadito al dr. __________ che l’assicurato non era in grado di viaggiare fino a __________, per ragioni di natura psichiatrica. Nonostante le considerazioni di natura medica che impedivano la trasferta a __________ esposte dal dr. __________, il dr. __________ ha deciso di procedere ad una valutazione peritale basata esclusivamente sugli atti, ritenendo gli stessi esaurienti (cfr. doc. 57-5). In questo contesto, deve essere sottolineato che, in caso di perizia psichiatrica, per la nostra Corte federale riveste un'importanza fondamentale il contatto personale fra perito e peritando, nel senso che essa non può di principio essere allestita sulla base degli atti che compongono l'incarto (cfr. STF 8C_643/2013 del 2 aprile 2014, con la quale l’Alta Corte ha confermato la STCA 32.13.25 del 15 luglio 2013, in cui il TCA ha considerato che le perizie prodotte dall’Istituto LPP al fine di sconfessare la perizia del SAM dovevano essere relegate in secondo piano, dato che gli autori delle stesse non avevano visitato personalmente l’assicurato, ciò che costituisce un vizio essenziale soprattutto in ambito psichiatrico; STF 9C_203/2011 del 22 novembre 2011 e riferimenti, in particolare STF 8C_941/2010 del 18 mai 2011 consid. 5.2 e U 492/00 del 31 luglio 2001 consid. 3d, pubblicato in RAMI 2001 n° U 438 p. 345; DTF 127 I 54 consid. 2e-g e riferimenti; STF U 229/06 del 10 settembre 2007 consid. 8.1.; STCA 32.2007.317 del 20 ottobre 2008; STCA 32.2008.10 del 2 aprile 2009, cresciuta in giudicato a seguito della sentenza federale di inammissibilità del ricorso di cui alla STF 9C_448/2009 del 28 agosto 2009). D’altra parte, va pure rilevato che, in ogni caso, anche qualora si volessero considerare valide le contestazioni sollevate dal dr. __________ dopo un esame esclusivamente degli atti a disposizione, le stesse non sarebbero comunque condivisibili, essendo state smentite dagli specialisti del CPAS (dr.ssa __________ e dr. __________), i quali hanno per contro avuto modo di personalmente visitare l’assicurato e di procedere ad un’accurata valutazione psichiatrica delle patologie dello stesso. Al riguardo, va infatti evidenziato che dopo la perizia psichiatrica eseguita dal dr. __________ e proprio al fine di chiarire le obiezioni sollevate dal dr. __________ nel referto peritale prodotto dalla Cassa Pensione in sede di osservazioni, l’amministrazione ha ordinato una nuova perizia psichiatrica, affidata ai medici del CPAS, i quali hanno minuziosamente valutato lo stato di salute dell’interessato tramite due colloqui approfonditi (di 145 minuti, il primo, e di 25 minuti il secondo), al termine dei quali hanno espresso il loro apprezzamento sulla base di una valutazione globale, che ha tenuto conto delle risultanze cliniche, di tutti gli atti medici a disposizione e, non da ultimo, anche delle critiche sollevate dal dr. __________, con le quali si sono appositamente confrontati, smentendole, nel referto peritale del 2 giugno 2014. Tale perizia, conforme alle direttive fissate dalla DTF 137 V 210, permette, a mente del TCA, di fare piena luce sulla situazione valetudinaria dell'assicurato al momento determinante, senza che si riveli necessario procedere ad ulteriori accertamenti medici e, in particolare, ad una perizia giudiziaria, come richiesto invece in sede ricorsuale.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Nel referto peritale del 2 giugno 2014, il dr. __________ e la dr.ssa __________ del CPAS hanno, infatti, dettagliatamente spiegato le ragioni per le quali, a loro avviso, contrariamente a quanto ritenuto dal dr. __________, può essere condivisa la diagnosi di sindrome post-traumatica da stress posta dal dr. __________. I periti del CPAS hanno indicato che “sono, nel caso dell’assicurato, soddisfatti tutti i criteri DSM 5 (A-G)”, mettendo particolarmente in evidenza il fatto che il vissuto narrato dall’assicurato è stato sicuramente quello della minaccia alla propria integrità fisica, in particolare al momento dell’arresto, con accuse infamanti e soprattutto in relazione agli eventi dei primi giorni di carcerazione (visione di un programma che parlava di lui; pranzo prima di un interrogatorio vissuto nella convinzione che potessero ucciderlo simulando una sua fuga). Gli specialisti del CPAS si sono pure confrontati con l’obiezione concernente il fatto che l’assicurato era abituato, per professione, a trovarsi in situazioni di stress e tensione anche per lunghi periodi, spiegando perché ciò non ha comunque impedito, nel caso concreto, lo sviluppo di una sindrome post-traumatica da stress. Anche il fatto che l’interessato sia tornato al lavoro dopo il 2004, proseguendo l’attività fino al 2012, è stato analizzato dai periti del CPAS e ritenuto comunque significativo nella misura in cui, da una indagine approfondita, il periodo in questione ha evidenziato “numerosi segni di diminuzione del funzionamento e di cambiamento non solo sul lavoro ma anche a livello della vita personale, che mostrano un assestamento su un funzionamento inferiore e sull’utilizzo di meccanismi costantemente difensivi con uno stato di allerta cronica che, in precedenza, non era presente”. I periti del CPAS hanno concluso di non ritenere “pertanto, a differenza del dr. __________, che siamo di fronte ad una situazione “semplicemente” reattiva e che la sintomatologia si sarebbe estinta qualora non si fosse avuto il confronto con il processo e il contatto sul lavoro con la figliastra dell’ex collega”. Essi hanno sottolineato che “al di là delle disquisizioni diagnostiche, seppur importanti, mi sembra tuttavia che sia soprattutto l’espressività clinica ed il contatto con l’assicurato che hanno fatto apprezzare, oltre che al curante anche al dr. __________, un quadro di grande e reale tensione, di costante presenza dei vissuti traumatici con una frequente riattualizzazione degli eventi ed una rabbia che si scarica evidentemente a livello somatico e che non lasciano molti dubbi sulla realtà del quadro e, soprattutto, sulla incapacità a proseguire nell’abituale professione” (doc. 57-18). Gli specialisti del CPAS hanno pure spiegato per quali ragioni, a loro giudizio, l’assicurato presenta anche una disfunzione vegetativa somatoforme, invalidante, motivando tale conclusione tramite un’analisi dei criteri di Foerster, che risultano adempiuti (cfr. doc. 57-19). Al termine di approfondite valutazioni, gli psichiatri del CPAS sono dunque giunti alla conclusione che l’interessato presenta una capacità lavorativa residua del 20% nella sua attività abituale e del 40% in attività adatte. Il TCA non ha motivo per distanziarsi da queste conclusioni, ben motivate, dei medici del CPAS, poi peraltro confermate anche dal SMR. Del resto, va rilevato che le conclusioni degli specialisti del CPAS non sono state smentite da altri certificati medico-specialistici attestanti una diversa influenza delle patologie dell’assicurato sulla sua capacità lavorativa residua. Tale non può essere considerato, come visto sopra, il referto peritale del dr. __________, precedente l’esame peritale del CPAS. Il TCA sottolinea, inoltre, che le conclusioni degli specialisti del CPAS confermano quanto già indicato dal dr. __________ in data 1° maggio 2014 a proposito del carattere non condivisibile delle conclusioni alle quali è giunto il dr. __________, attraverso una metodologia inadeguata (perizia redatta unicamente sulla base degli atti) e senza aver colto, attraverso un’osservazione diretta e prolungata del paziente, l’eccezionale complessità del quadro clinico dell’assicurato. Il dr. __________ ha spiegato le ragioni per le quali ha ritenuto che la diagnosi di sindrome da disadattamento, reazione depressiva prolungata (F43.21) posta dal dr. __________ è sbagliata (cfr. doc. 53-5), illustrando invece, tramite una disamina approfondita dei criteri diagnostici necessari (posti dall’ICD-10 e dal DSM-IV-TR), le ragioni che lo hanno spinto a porre la diagnosi di sindrome post-traumatica da stress, causata dall’ingiusta carcerazione subìta dall’interessato nel 2003 (doc. 53/6-9). Tale disamina è stata espressamente condivisa dai periti del CPAS. Alla luce di quanto qui sopra esposto, a mente di questo Tribunale è quindi da ritenere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l’assicurato sia da considerare inabile al lavoro all’80%, a partire dal 1° novembre 2012, sia nella sua precedente attività di inquirente sia in altre attività, mentre, a partire dal 2 giugno 2014, sia inabile al lavoro nella misura del 60% in altre attività adatte, come stabilito dai medici del CPAS. 2.7.   Essendo quindi esigibile che l’assicurato sfrutti la sua residua capacità lavorativa del 20% a partire dal 1° novembre 2012 nella sua precedente attività così come in qualsiasi altra attività e del 40%, a contare dal 2 giugno 2014, nello svolgimento di attività adeguate, occorre esaminare le conseguenze del danno alla salute dal profilo economico. 2.7.1.   Per quanto concerne il periodo a partire dal mese di novembre 2013 (corrispondente al momento dell’inizio dell’eventuale diritto alla rendita, cfr. DTF 129 V 222), l’Ufficio AI, nella decisione impugnata, ha effettuato il raffronto dei redditi dapprima con riferimento all’attività abituale, comparando il reddito da valido che l’assicurato avrebbe potuto percepire nella sua attività di inquirente della polizia federale (2012) di fr. 150'011 (come risulta dal questionario del datore di lavoro del 19 agosto 2013) con il reddito da invalido ancora ottenibile nella professione di inquirente della polizia federale, al 20%, pari a fr. 30'002.20, ottenendo un grado di incapacità lucrativa dell’80%. L’amministrazione ha poi proceduto al raffronto dei redditi per quanto concerne lo svolgimento di altre attività adatte, esigibili al 20%, comparando il reddito da valido di 150'011 con quello da invalido di fr. 10'860 (ottenuto applicando al reddito da invalido statistico per attività semplici e ripetitive di fr. 62'413.65 una riduzione dell’80% per motivi medici e del 13% per svantaggi salariali derivanti da contingenze particolari), per un grado di incapacità lucrativa del 92.76%. L’Ufficio AI ha quindi concluso che “il minor discapito economico è dato in attività abituale”, ciò che “apre il diritto a prestazioni AI alla scadenza dell’anno di attesa dall’insorgenza del danno alla salute in base all’art. 28 LAI” (doc. A). Questo Tribunale concorda con la conclusione alla quale è giunto l’Ufficio AI che, del resto, non è stata oggetto di contestazione da parte della Cassa Pensione ricorrente (la quale ha solo criticato la valutazione medica effettuata dall’amministrazione, senza nulla eccepire quanto agli aspetti economici). Il TCA ritiene corretto il riferimento fatto dall’amministrazione, nella determinazione del reddito da invalido, ad attività semplici e ripetitive, posto che, come emerge dalla valutazione dell’8 gennaio 2014, il consulente IP ha ritenuto che l’assicurato, il quale dopo le scuole dell’obbligo, ha svolto “solo” un anno di scuola di polizia, lavorando poi a partire dal 1980 esclusivamente come agente di polizia, “considerate sia l’attività abituale di __________ presso la __________ sia il livello di stipendio da lui raggiunto è poco probabile pensare ad un suo ricollocamento in una qualsiasi altra attività lavorativa”(cfr. doc. 28). Quanto all’entità della riduzione percentuale da applicare al reddito da invalido, invece, il TCA non può condividere la percentuale  fissata dall’amministrazione al 13%, che andrebbe quindi aumentata al 15%, alla luce della giurisprudenza federale (cfr., sul tema, STCA 32.2012.36 del 31 gennaio 2013 - confermata dal Tribunale federale con sentenza 9C_179/2013 del 26 agosto 2013 -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Nonostante ciò, il risultato finale non cambia. 2.7.2.   Alla medesima conclusione (di un minor discapito economico presentato dall’assicurato nella propria professione) l’Ufficio AI è pure giunto dopo avere effettuato il raffronto dei redditi per il periodo a decorrere dal 2 giugno 2014, nel quale l’interessato presenta un’inabilità lavorativa invariata dell’80% nella sua precedente attività e un’incapacità lavorativa del 60% in attività adatte. L’Ufficio AI ha, infatti, calcolato che, nell’attività abituale, raffrontando il reddito da valido di fr. 150'011 con il reddito da invalido di fr. 30'002.20, l’incapacità lucrativa è dell’80%. In altre attività, invece, raffrontando il reddito da valido di fr. 150'011 con quello da invalido di fr. 19'722.75 (ottenuto applicando al reddito da invalido statistico per attività semplici e ripetitive di fr. 62'413.65 una riduzione del 60% per motivi medici, del 3% per attività leggera e del 18% per svantaggi salariali derivanti da contingenze particolari), il grado di incapacità lucrativa è dell’86.85%. L’Ufficio AI ha quindi concluso che “il minor discapito economico è dato in attività abituale e viene quindi utilizzato questo dato per fare il calcolo della capacità di guadagno residua”, motivo per il quale “malgrado la maggiore abilità lavorativa in attività adeguata la percentuale del grado di invalidità rimane invariata” (doc. A). Il TCA concorda con tali conclusioni, pur ribadendo che, come indicato al considerando precedente (cfr. consid. 2.7.1.), l’entità della riduzione percentuale applicata al reddito da invalido –innalzata senza ragione alcuna dall’amministrazione, per il periodo in questione, dal 13% stabilito in precedenza al 21% - non può essere condivisa da questo Tribunale, alla luce della giurisprudenza federale. In ogni caso, ciò non ha ripercussioni sul risultato finale, posto che anche applicando la riduzione percentuale del 15% il grado di invalidità sarebbe comunque superiore all’80% (85.85%). La decisione impugnata deve dunque essere confermata.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 ricorso, le spese per fr. 500.-- sono a carico della ricorrente. Inoltre, a PI 1, chiamato in causa e rappresentato da un legale, il quale ha postulato la reiezione del gravame, deve essere riconosciuta un’indennità di fr. 800.-- (IVA inclusa) a titolo di ripetibili, da porre a carico della ricorrente ( Zünd, Kommentar zum Gesetz über das Sozialversicherungsgesricht des Kantons Zürich, Zurigo 1999, § 34 N. 3 pag. 239 con riferimenti; in ambito art. LAVS 52 cfr. STFA 204/00 del 26 agosto 2002, consid.</w:t>
      </w:r>
    </w:p>
    <w:p>
      <w:r>
        <w:rPr>
          <w:b/>
        </w:rPr>
        <w:t>E. 6</w:t>
      </w:r>
    </w:p>
    <w:p>
      <w:r>
        <w:t>e STFA K 8/06 del 10 luglio 2006,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