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32.2014.140 vom 4. September 2014</w:t>
      </w:r>
    </w:p>
    <w:p>
      <w:r>
        <w:t>TI Tribunale d'appello, 2014-09-04, IT</w:t>
      </w:r>
    </w:p>
    <w:p>
      <w:r>
        <w:rPr>
          <w:b/>
        </w:rPr>
        <w:t xml:space="preserve">Quelle: </w:t>
      </w:r>
      <w:r>
        <w:t>https://mcp.opencaselaw.ch/entscheid/ti_gerichte_32.2014.140</w:t>
      </w:r>
    </w:p>
    <w:p>
      <w:r>
        <w:t>FR: TI_GERICHTE 32.2014.140 du 4 septembre 2014</w:t>
      </w:r>
    </w:p>
    <w:p>
      <w:r>
        <w:t>IT: TI_GERICHTE 32.2014.140 del 4 settembre 2014</w:t>
      </w:r>
    </w:p>
    <w:p>
      <w:pPr>
        <w:pStyle w:val="Heading2"/>
      </w:pPr>
      <w:r>
        <w:t>Regeste</w:t>
      </w:r>
    </w:p>
    <w:p>
      <w:r>
        <w:t>Ass. vittima di caduta con lesione vertebrale e conseguenti dolori all'emiaddome sx. Valutaz. esigibilità lav. del medico circondario SUVA in ambito LAINF prevale su constatazioni compiute durante periodo oss. prof. Confermato calcolo grado di invalidità del 23%, no diritto a rendita AI</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a ragione oppure no l’Ufficio AI ha respinto la richiesta di prestazioni dell’assicurato.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STF 9C_13/2007 del 31 marzo 2008;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stabilire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Occorre ancora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Il reddito da invalido, deve invece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2.4.   L’Alta Corte ammette di principio, la possibilità di un raffronto tra redditi da attività indipendente con redditi da dipendente (STFA I 543/03 del 27 agosto 2004). Tale modo di operare è segnatamente stato avallato nei casi in cui sono disponibili dati fiscali attendibili (cfr. sentenza citata). Inoltre alla luce del principio generale applicabile anche nel diritto delle assicurazioni sociali, per il quale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in re I, I 543/03, consid. 4.3 e del 22 ottobre 2001 in re W.,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2.5.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Nella concreta evenienza, dalle carte processuali si evince che, per chiarire la questione della capacità/esigibilità lavorativa, l’UAI si è riferito agli esami medici e strumentali esperiti dalla __________ in ambito LAINF e, in particolare, al rapporto dell’8 luglio 2013 stilato dal dott. __________, spec. FMH in chirurgia generale e della mano, a margine della visita medica di chiusura del 4 luglio 2013. In quell’occasione, il dott. __________ ha ritenuto che non vi fosse la necessità di sottoporre l’assicurato a ulteriori esami specialistici di chirurgia addominale o di neurochirurgia (cfr. doc. 58-13). Lo stato oggettivo dell’assicurato che risulta dal predetto rapporto è il seguente: " alla deambulazione nelle 3 modalità dolori al fianco sinistro, tutti i movimenti attivi causano all’assicurato dolori in questa zona. Lo stato neurologico a parte una debolezza del riflesso patellare destro è normale con buona forza alle due estremità inferiori e nessun disturbo di sensibilità a questo livello. Nessuna recidiva dell’ernia addominale fianco sinistro curata." (cfr. doc. 58-13). L’assicurato è quindi stato dichiarato non più in grado di riprendere il suo precedente lavoro di manovale edile e di guida di un escavatore. D’altro canto, il medico ____________________ lo ha però ritenuto abile al lavoro, a partire dal 1° agosto 2013, in attività compatibili con il danno alla salute infortunistico, descrivendo l’esigibilità lavorativa dell’assicurato nel seguente modo: " Esigibilità del lavoro: sollevare e portare pesi: l’assicurato può sollevare pesi molto leggeri fino a 5 kg fino all’altezza dei fianchi senza limitazione, pesi leggeri fra i 5 e i 10 kg fino all’altezza dei fianchi senza limitazioni, pesi medi fra i 10 e i 25 kg fino all’altezza dei fianchi spesso, pesi pesanti fra i 25 e i 45 kg fino all’altezza dei fianchi mai, pesi molto pesanti oltre i 45 kg fino all’altezza dei fianchi mai. Può sollevare oltre all’altezza del petto pesi fino a 5 kg e oltre 5 kg. Maneggio di attrezzi leggeri di precisione e medi senza limitazione, lavoro pesante manovale e rozzo talvolta, molto pesante mai. Non problemi di rotazione delle due mani. Posizione e mobilità: lavori sopra la testa senza limitazione, di rotazione del tronco spesso, posizione seduta e inclinata in avanti spesso, in piedi/inclinata in avanti spesso, posizione inginocchiata di raro come pure in flessione delle ginocchia. Posizione di lunga durata seduta, in piedi ed alternarsi senza limitazione. Spostamento fino e oltre 50 m senza limitazione, camminare per lunghi tratti talvolta, su terreno accidentato di raro, salire le scale talvolta, su scale a pioli mai. Uso delle due mani possibile. Al momento nessun problema di equilibrio o stare in equilibrio." (cfr. doc. 58-14) Dagli atti dell'incarto emerge pure che nel corso del mese di novembre 2012, RI 1 era stato sottoposto a una valutazione delle capacità funzionali (EFL) presso la ____________________ di __________, per conto dell’amministrazione. In quell’occasione, gli specialisti che hanno effettuato gli esami avevano constatato, da una parte, che la capacità funzionale dimostrata durante i test si situava al di sotto delle richieste di carico dell’attività lavorativa svolta fino a prima dell’infortunio (cfr. doc. 101-3), ma, dall’altra, che in altre attività professionali leggere, con pesi da manipolare raramente (al massimo 5-10 kg), esisteva una piena capacità lavorativa (cfr. Inc. __________ doc. 101-4). L’UAI, con progetto di assegnazione di rendita del 15 gennaio 2014 ha affermato che: " (…) Dalla documentazione acquisita all’incarto, con particolare riferimento all’incarto __________, risulta che il danno alla salute di cui l’assicurato è portatore, gli ha comportato una totale incapacità al lavoro in qualsiasi attività dal 06.06.2011 al 03.07.2013. Dal 04.07.2013 è presente una totale capacità al lavoro in attività adeguate, mentre nell’abituale attività l’incapacità al lavoro del 100% continua. (…)” (cfr. doc. 42-2). Effettuato il raffronto dei redditi per determinare il grado di invalidità dal 04.07.2013 in avanti, l’amministrazione ha deciso che: " (…) Dal 01.06.2012 (dopo un anno di attesa, art. 28 cpv. 1 lett. b LAI) è assegnato un grado di invalidità del 100% ed un diritto ad una rendita intera d’invalidità. Con il 01.11.2013 (art. 88a OAI, tre mesi dopo il miglioramento dello stato di salute) non sussiste più diritto a rendita alcuna essendo il grado d’invalidità del 21% (…)” (cfr. doc. 42-3, sottolineature a opera del redattore). Con scritto del 17 febbraio 2014, RI 1, rappresentato dal __________, ha presentato le sue osservazioni al progetto di rendita AI. Egli ha, in sostanza, ritenuto che la sua esigibilità lavorativa fosse stata stabilita in maniera eccessivamente ottimista considerato il suo stato di salute ed ha chiesto che siano analizzate le reali possibilità professionali ancora esigibili dopo essere stato sottoposto a uno stage di osservazione professionale (cfr. doc. 48-1). Il 27 febbraio 2014 la rappresentante legale dell’assicurato ha trasmesso all’UAI un referto dell’esame radiologico del rachide dorso lombare e del bacino di RI 1 eseguito il 3 gennaio 2014 ed ha affermato quanto segue: " (…) Tenuto conto dei politraumi subiti dall’assicurato e delle diverse patologie da lui lamentate, a questo punto insistiamo sul fatto che il vostro ente assicurativo proceda a una perizia pluridisciplinare e in seguito, se del caso, a una valutazione pratica dei limiti funzionali così come già richiesto. (…)” (cfr. doc. 51-1). Interpellato dall’amministrazione, il 10 marzo 2014, il dott. __________ del Servizio Medico Regionale AI, visto che l’assicurato nelle sue osservazioni del 17/27 febbraio 2014 (doc. 48-1; 51-1) ha evidenziato la presenza di patologie invalidanti extrainfortunistiche con richiesta di valutazione pluridisciplinare, prima di pronunciarsi sulla necessità o meno di una tale perizia, ha ritenuto opportuno chiedere al dott. __________, medico curante di RI 1, un rapporto AI aggiornato sullo stato di salute del suo paziente (cfr. doc. 55-1). Preso atto del rapporto del medico curante, in particolare, dell’indicazione circa una ridotta caricabilità psichica di RI 1 (cfr. doc. 58-3), al fine di valutare se quest’ultimo fosse soggetto o meno a problematiche psichiche invalidanti, il dott. __________ ha dato mandato alla dott.ssa __________, specialista FMH in psichiatria e psicoterapia, di eseguire una perizia psichiatrica (cfr. doc. 60-1). Esperita la predetta valutazione specialistica, constatata l’assenza di patologie psichiatriche invalidanti (cfr. doc. 65-5) come pure di qualsiasi altra patologia extrainfortunistica invalidante, in data 17 giugno 2014 il medico di fiducia dell’UAI ha ritenuto invariata l’esigibilità lavorativa enunciata dal dott. __________ della __________ nella valutazione dell’8 luglio 2013 (cfr. doc. 66-1). Con decisione del 4 settembre 2014, l’Ufficio assicurazione invalidità ha quindi confermato il proprio progetto di decisione del 15 gennaio 2014, riconoscendo a RI 1 una rendita AI intera temporanea dal 1 settembre 2012 al 31 ottobre 2013 (cfr. doc. I+B). L’amministrazione ha ritenuto che a partire dal 1 novembre 2014 l’interessato non avesse nessun diritto alla rendita AI, essendo il suo grado di invalidità pari al 21% (cfr. doc. 67-2). L’assicurato non condivide la conclusione dell’amministrazione e contesta il grado di invalidità stabilito dall’UAI. Egli fa valere di non essere più in grado di svolgere con rendimento normale attività lavorative anche leggere, ciò che sarebbe dimostrato dai tentativi falliti di ripresa del lavoro presso il precedente datore di lavoro (cfr. doc. I, p. 6). D’altro canto, egli segnala di non essere nemmeno stato in grado di portare a termine con gli esiti sperati lo stage lavorativo leggero in “ambiente protetto” effettuato presso l’ __________ di __________ e che, a seguito dei forti dolori insorti durante tale attività, ha dovuto persino essere ricoverato al Pronto soccorso dell’Ospedale regionale di __________ (cfr. doc. I, p. 6 + D e E). Inoltre, l’insorgente ritiene che la valutazione della sua esigibilità lavorativa non possa fondarsi sulla visita di chiusura del dott. __________ del luglio 2013, non essendo essa conforme ai requisiti di completezza voluti dalla giurisprudenza. Il ricorrente al riguardo sostiene che la valutazione medica effettuata dal medico di __________ della __________ sarebbe incompleta non specialistica e non fondata su esami sufficientemente approfonditi (cfr. doc. I, p. 7 e doc. VI, p. 2). A sostegno della propria tesi ricorsuale RI 1 produce il certificato medico del 12 maggio 2014 del dott. __________, suo medico curante, secondo il quale a causa del suo grave stato di salute egli non sarebbe più in grado di svolgere nessuna attività lavorativa anche se leggera (cfr. doc. I, p. 7 + F). 2.8.   Questo Tribunale, chiamato a verificare se lo stato di salute del ricorrente sia stato accuratamente vagliato dall’amministrazione prima dell’emissione della decisione impugnata, viste le risultanze mediche appena esposte e richiamata la giurisprudenza in materia di valore probatorio di rapporti medici (cfr. consid. 2.6.), non ha motivo per mettere in dubbio la valutazione espressa dal SMR dell’UAI, la quale si fonda sugli accertamenti medici esperiti in ambito LAINF dal dott. __________ e sui risultati della perizia psichiatrica della dott.ssa __________. Contrariamente a quanto sostenuto dall’insorgente, il TCA ritiene che il referto dell’8 luglio 2013 del dott. __________ redatto a margine della visita di chiusura soddisfi pienamente i criteri posti dalla giurisprudenza affinché possa essere attribuito pieno valore probatorio a una valutazione medica (cfr. consid. 2.6.). In effetti, dal rapporto in esame emerge che, prima di pronunciarsi sull’esigibilità lavorativa, il medico __________ ha considerato la documentazione medica specialistica agli atti, le risultanze dell’esame EFL, le dichiarazioni soggettive dell’assicurato (anamnesi), nonché i dati oggettivi raccolti durante la visita del 4 luglio 2013 (cfr. doc. 58-8/15). Giova inoltre osservare che il ricorrente ha sì messo in dubbio l’affidabilità del rapporto medico del dott. __________ - ritenendolo peraltro non adeguato in considerazione del fatto che il citato medico è specialista in chirurgia della mano e perciò inidoneo a valutare il suo danno alla salute vertebrale (cfr. doc. VI, p. 2 + H) -, senza però suffragare la propria tesi con pareri medici specialistici contrari. In effetti, con la propria certificazione agli atti (cfr. doc. I+F), il dott. __________, spec. FMH in medicina generale, si limita ad esprimere un parere, non specialistico, secondo cui l’assicurato, tenuto conto dei falliti tentativi di reintegrazione professionale, della bassa scolarità e della fragilità psichica, non sarebbe più in grado di svolgere un’attività lucrativa come prima dell’infortunio. Il medico curante appena citato non ha dunque espresso una vera e propria valutazione sullo stato di salute infortunistico di RI 1 e, soprattutto, non ha indicato in quali attività e in quale misura egli sarebbe inabile al lavoro. Peraltro, gli ulteriori accertamenti richiesti dal SMR a seguito delle osservazioni del 17 febbraio 2014 dell’assicurato al progetto d’assegnazione di rendita AI (cfr. doc. 48-1; 51-1), non permettono di giungere a conclusioni diverse circa l’esigibilità lavorativa del ricorrente. Al riguardo si osserva che a seguito della richiesta del 10 marzo del dott. __________ al medico curante dell’interessato di eseguire un rapporto medico AI aggiornato, il dott. __________ ha affermato che il referto medico del suo paziente, visitato il 12 marzo 2014, era “sostanzialmente invariato dal rapporto della __________” (cfr. doc. 58-2). Nel predetto rapporto il medico curante ha segnalato una caricabilità psichica ridotta di RI 1 (cfr. doc. 58-3). Per questa ragione, al fine di determinare il danno alla salute dell’assicurato e le relative conseguenze sulla sua capacità lavorativa, il medico del SMR dell’UAI ha ritenuto opportuno ordinare una perizia specialistica per valutare la presenza di eventuali patologie psichiatriche invalidanti. La perizia svolta dalla dott.ssa __________ non ha però rilevato patologie di questo genere (cfr. doc. 65-5). In esito alle risultanze di tali accertamenti, il dott. __________ del SMR ha, rettamente, confermato l’assenza di patologie invalidanti extrainfortunistiche dell’assicurato, confermando la valutazione sull’esigibilità lavorativa effettuata dal dott. __________ (cfr. doc. 66-1). Parimenti inconferenti ai fini della valutazione dell’esigibilità lavorativa sono gli scritti 9 maggio e 2 luglio 2014 del responsabile dell’__________. Il primo documento riferisce unicamente che il ricorrente non sarebbe più in grado di svolgere attività lavorative simili a quelle che svolgeva prima dell’evento infortunistico (cfr. doc. D1), circostanza comunque ammessa anche dal medico __________ dell’CO 1 nel suo rapporto di chiusura dell’8 luglio 2013 (cfr. doc. 58-13/14). Per quanto riguarda, invece, la dichiarazione datata 2 luglio 2014, in cui si attesta che RI 1 non avrebbe avuto un normale rendimento nelle attività leggere svolte durante il periodo di osservazione svolto presso l’__________ (cfr. doc. E), essa non è atta scalfire il valore probante attribuito alla valutazione del dott. __________. In effetti, secondo un’affermata giurisprudenza federale,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STF 9C_891/2012 del 5 aprile 2013 consid. 3, 9C_426/2011 del 14 dicembre 2011 consid. 4.3 e 8C_776/2009 del 19 luglio 2010 consid. 52 e riferimenti ivi menzionati). Oltretutto,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n. U 15 p. 49 consid. 3b; RCC 1991 p. 332 consid. 3b; STF 8C_709/2008 del 3 aprile 2009 consid. 2.3.). Pertanto, in esito a tutto quanto precede, il TCA deve concludere che perlomeno a partire dal mese di agosto 2013, il ricorrente sarebbe in grado di svolgere, a tempo pieno e con un rendimento completo, delle attività lavorative che rispettino le limitazioni descritte nel rapporto 8 luglio 2013 del dott. __________ (cfr. doc. 58-14). Constatato che l’assicurato presenta una piena capacità lavorativa in attività adeguate, ricordato inoltre che l'invalidità nell'ambito delle assicurazioni sociali svizzere è un concetto di carattere economico-giuridico e non medico (DTF 116 V 249 consid. 1b, 110 V 275 consid. 4a) , occorre ora esaminare le conseguenze del danno alla salute dal profilo economico. 2.9.   Per quel che concerne il reddito da valido , l’UAI ha stabilito che nel 2012, anno a partire dal quale nasce il diritto alla rendita di invalidità AI (cfr. consid. 2.3.), l’insorgente, se fosse sano, avrebbe guadagnato un salario annuo di fr. 68'342.30 (cfr. docc. 42-2; 42-5; 67-1; III, p. 4). Il TCA non ha motivo per distanziarsi dall’importo citato, che, del resto, non è stato contestato dall’assicurato. 2.10.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 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Dopo adeguamento all'indice dei salari nominali (cfr. la relativa tabella pubblicata sul sito web dell’UFS), si ottiene, per il 2012 , un reddito mensile di fr. 5'183.70 oppure di fr. 62'204.40 per l'intero anno (fr. 5'183.70 x 12). L’assicurato, quale operaio edile non specializzato, avrebbe guadagnato nel 2012 fr. 68’342.30 / anno, pari a fr 5’695.20 / mese, per un’occupazione a tempo pieno (cfr. i nc. __________ doc. 13-2 e doc. III, p. 4). Tale reddito si situa leggermente al di sotto della media dei salari per un'attività equivalente ( tabella TA 1 2010, p.to 41 “lavori di costruzione di edifici”, livello di qualifica 4: fr. 5'420.-- riportato su 42.3 ore/settimana = fr. 5'731.65 x 12 mesi = fr. 68’779.80 + adeguamento all'indice dei salari nominali per il 2012 = fr. 69'949.05 ) motivo per cui, essendo la differenza inferiore alla soglia del 5% stabilita dalla giurisprudenza federale, non entra in linea di conto una decurtazione del reddito statistico da invalido a titolo di gap salariale . 2.11.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sentenza U 420/04 del 25 luglio 2005 al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2.12.   In concreto, nella decisione impugnata, l’amministrazione ha applicato una riduzione dell’8% per attività leggere e del 5 % per svantaggi salariali derivanti da contingenze particolari (cfr. doc. 54/1-3; 67-2; IV, p. 4). In sede ricorsuale l’assicurato ha contestato gli aspetti economici. Egli ha chiesto l’applicazione della riduzione massima possibile del salario da invalido pari al 25%, posto che quella, troppo esigua, accordata dall’amministrazione non terrebbe adeguatamente conto della sua età avanzata, della bassissima scolarizzazione e del fatto che a causa del danno alla salute può svolgere soltanto dei lavori estremamente leggeri e privi di stress (cfr. doc. I, p. 8).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2.11.), il TCA non può condividere la scelta dell’UAI di applicare una riduzione dell’8% per attività leggera, ma ritiene corretto rettificarla aumentandola al 10% (al riguardo cfr. STCA 32.2013.193 del 25 agosto 2014 consid. 2.7.; STCA 32.2013.23 dell’11 novembre 2013 consid. 2.9.4.). Per il resto, questo Tribunale non ha motivo per scostarsi dalla riduzione percentuale del 5% applicata dall’amministrazione relativamente agli svantaggi salariali derivanti da contingenze particolari. Tenuto conto del riserbo di cui deve dare prova il giudice delle assicurazioni sociali nel sostituire il proprio apprezzamento a quello dell’amministrazione (cfr. DTF 137 V 71, 132 V 393 consid. 3.3), questa Corte ritiene che, operando una decurtazione complessiva del 13%, poi, come appena visto, rettificata al 15% a norma della giurisprudenza federale (10% + 5%), l’UAI non abbia abusato del proprio potere di apprezzamento. In particolare, occorre osservare che, mediante la riduzione in questione, l’amministrazione ha considerato ampiamente gli effetti legati alla menomazione infortunistica. D’altro canto, per quanto riguarda il fattore “età”, il Tribunale federale ne ha più volte negato la rilevanza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Infine, il fatto che l’assicurato abbia un grado di scolarità basso e che abbia sempre lavorato nel ramo dell’edilizia, non giustifica un’ulteriore decurtazione,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 Questa soluzione si giustifica tanto più se si considera che, per costante giurisprudenza il giudice non può scostarsi dalla valutazione dell’amministrazione senza fondati motivi (cfr. DTF 137 V 71; DTF 126 V 80 consid. 5b/dd e 6). Procedendo quindi al raffronto dei redditi, con riferimento al 2012, partendo da un salario da invalido di fr . 62'204.40 (cfr. consid. 2.10.), applicando la riduzione del 15%, il reddito ipotetico dell’insorgente ammonta, quindi, a fr. 52'873.75 . Confrontando ora questo dato con l’ammontare del reddito da valido nel medesimo anno di fr. 68’342 (consid. 2.9.), risulta un grado di invalidità del 22.63% arrotondato al 23% secondo la giurisprudenza di cui alla DTF 130 V 121 consid. 3.2. = SVR 2004 UV Nr. 11 pag. 41), percentuale che non dà diritto ad una rendita di invalidità, come correttamente stabilito dall'amministrazione . La decisione del 4 settembre 2014 con la quale l’UAI ha rifiutato il riconoscimento di una rendita d'invalidità a partire dal 1 novembre 2013 in avanti (tre mesi dopo il miglioramento dello stato di salute conformemente all’art. 88a OAI), merita quindi conferma. 2.13. L’assicurat o nel proprio atto ricorsuale ha chiesto in via subordinata il rinvio degli atti all’amministrazione affinché svolga ulteriori accertamenti medici specialistici ed economici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