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32.2014.123 vom 31. Juli 2014</w:t>
      </w:r>
    </w:p>
    <w:p>
      <w:r>
        <w:t>TI Tribunale d'appello, 2014-07-31, IT</w:t>
      </w:r>
    </w:p>
    <w:p>
      <w:r>
        <w:rPr>
          <w:b/>
        </w:rPr>
        <w:t xml:space="preserve">Quelle: </w:t>
      </w:r>
      <w:r>
        <w:t>https://mcp.opencaselaw.ch/entscheid/ti_gerichte_32.2014.123</w:t>
      </w:r>
    </w:p>
    <w:p>
      <w:r>
        <w:t>FR: TI_GERICHTE 32.2014.123 du 31 juillet 2014</w:t>
      </w:r>
    </w:p>
    <w:p>
      <w:r>
        <w:t>IT: TI_GERICHTE 32.2014.123 del 31 luglio 2014</w:t>
      </w:r>
    </w:p>
    <w:p>
      <w:pPr>
        <w:pStyle w:val="Heading2"/>
      </w:pPr>
      <w:r>
        <w:t>Regeste</w:t>
      </w:r>
    </w:p>
    <w:p>
      <w:r>
        <w:t>Decisione di soppressione,in via di revisione,della rendita AI versata all'assicurato non può essere confermata dal TCA,senza che prima venga eseguito un approfondimento peritale dell'insieme delle patologie dell'interessato,non essendo sufficiente la valutazione del SMR.Rinvio atti</w:t>
      </w:r>
    </w:p>
    <w:p>
      <w:pPr>
        <w:pStyle w:val="Heading2"/>
      </w:pPr>
      <w:r>
        <w:t>Erwägungen</w:t>
      </w:r>
    </w:p>
    <w:p>
      <w:r>
        <w:rPr>
          <w:b/>
        </w:rPr>
        <w:t>E. 10</w:t>
      </w:r>
    </w:p>
    <w:p>
      <w:r>
        <w:t>dicembre 2010, inabile al lavoro nella misura del 20% per motivi psichici, ma totalmente abile al lavoro per ragioni reumatologiche (doc. 68-3), mentre nel successivo rapporto finale del 9 luglio 2013 hanno ritenuto l’interessato inabile al lavoro al 50% dal mese di gennaio 2012 (doc. 139-3), per la presenza di patologia extrainfortunistica come precisato dal dr. __________ nelle annotazioni dell’8 maggio 2014 (doc. 149-1). Tale valutazione è stata posta alla luce di quanto emerso nel rapporto del 7 ottobre 2011 relativo all’accertamento professionale presso il CAP dal 29 agosto 2011 al 23 settembre 2011 (doc. 93-1), come espressamente indicato dal dr. __________ del SMR nelle annotazioni del 5 maggio 2014. Ora, a tale riguardo, il TCA non ritiene affidabile la conclusione alla quale è giunto l’Ufficio AI e il SMR, rifacendosi alla valutazione eseguita dal CAP, di una capacità lavorativa residua del 50%, ritenuto che già gli stessi autori e firmatari del citato rapporto d’accertamento hanno espressamente indicato che la valutazione di una capacità lavorativa residua del 50% in un’attività di ricezionista senza dover compiere degli spostamenti “ rappresenta una situazione particolare, costruita su misura e non rappresentativa del mercato lavorativo normalmente accessibile”, aggiungendo che “la capacità lavorativa e di guadagno potrà essere infatti definita solo dopo aver trovato un datore di lavoro che, dopo una prova per valutare resa e salario, è disposto ad assumere il sig. RI 1” (cfr. doc. 93-10, sottolineatura della redattrice). Ciò che tuttavia non è stato possibile realizzare (cfr. doc. 130-1), motivo per il quale la consulente IP ha espressamente indicato che “dal lato pratico, viene considerata un’abilità del 50%” (doc. 130-3, sottolineatura della redattrice). Nel caso di specie, a mente di questo Tribunale, visto il carattere “particolare” e “non rappresentativo del mercato lavorativo normalmente accessibile” dell’esigibilità lavorativa constatata dal  profilo pratico dal CAP, risultava indispensabile per l’Ufficio AI disporre di una accurata valutazione peritale di natura medica, atta a stabilire la “reale” capacità lavorativa residua dell’assicurato sfruttabile sul mercato equilibrato del lavoro, tenuto conto dell’insieme delle patologie, di origine sia post-infortunistica, sia extra-infortunistica, che lo affliggono. Va infatti evidenziato che, secondo un’affermata giurisprudenza federale, i dati medici permettono generalmente un apprezzamento oggettivo del caso, di modo che essi prevalgono sulle constatazioni compiute in occasione di uno stage d’osservazione professionale, le quali sono suscettibili di essere state influenzate da fattori soggettivi legati al comportamento della persona assicurata nel corso dello stage (cfr. STF 9C_891/2012 del 5 aprile 2013 consid. 3, 9C_426/2011 del 14 dicembre 2011 consid. 4.3 e 8C_776/2009 del 19 luglio 2010 consid. 52 e riferimenti ivi menzionati). Il TCA non può tuttavia considerare tale la valutazione eseguita in data 9 luglio 2013 dal dr. __________ del SMR (doc. 139), il quale ha in maniera succinta constatato una “evoluzione progressivamente favorevole con miglioramento nella mobilità complessiva. Miglioramento della sintomatologia”, motivando che “tale miglioramento è oggettivato clinicamente, riferito alle dichiarazioni dell’assicurato e all’aggiornamento degli atti medici” (doc. 139-8). Questa motivazione, del tutto generica e non supportata da adeguati riscontri oggettivi, oltretutto decisamente contestata dal patrocinatore del ricorrente, non può essere considerata sufficiente da questo Tribunale al fine di verificare se effettivamente vi sia stato – e se del caso in quale misura - oppure no un miglioramento delle condizioni di salute globale dell’assicurato, tale da giustificare la riduzione, in via di revisione, della rendita intera di invalidità della quale beneficiava l’interessato. Appare infatti di fondamentale importanza stabilire se, rispetto al momento in cui è stata emanata la decisione di attribuzione di una rendita intera di invalidità tenuto conto dell’allora totale incapacità lavorativa, lo stato di salute dell’interessato, nel frattempo stabilizzatosi, è migliorato oppure no. Inoltre, in caso di risposta positiva, occorre pure verificare se l’ipotetica residua capacità lavorativa dell’assicurato sarebbe sfruttabile sul mercato equilibrato del lavoro, seppur equilibrato, oppure no. Non va infatti dimenticato che dall’accertamento messo in opera dal CAP è risultato che “t utto il mercato lavorativo non qualificato risulta non accessibile, da una parte per il genere di mansioni (inadeguate a causa dell’impossibilità di alternare costantemente le posizioni di lavoro da seduta a eretta, della necessità di sollevare o trasportare pesi, del mancato rispetto delle regole ergonomiche), dall’altra per la necessità di resa produttiva (l’A. non è in grado di lavorare l’intera giornata e anche su un ipotetico tempo di lavoro parziale avrebbe un rendimento ridotto a causa della necessità di cambiare le posizioni e effettuare delle pause)” e che “quale unica via realizzabile si vedrebbe un tentativo di reinserimento lavorativo in attività a carattere amministrativo (ricezione, gestione delle comande o delle consegne, fatturazione), magari in contesti simili a quello da ultimo praticato e nel quale ha di conseguenza delle conoscenze”, ciò che “si è coscienti che quanto sopra descritto rappresenta una situazione particolare, costruita su misura e non rappresentativa del mercato lavorativo normalmente accessibile” (doc. 93-10). In tale contesto il TCA sottolinea che i n una sentenza 9C_984/2008 del 4 maggio 2009, il Tribunale federale - chiamato a giudicare il caso di un assicurato il cui disturbo della personalità (personalità borderline) implicava la necessità di lavorare in un ambiente confinato e protetto, fuori da ogni stress professionale e sociale - ha ritenuto che le concessioni smisurate che verrebbero richieste a un potenziale datore di lavoro, rendevano l’esercizio di un’attività lucrativa incompatibile con le esigenze attuali del mondo economico. In un’altra sentenza 9C_910/2011 del 30 marzo 2012, l’Alta Corte ha considerato non realistiche, su un mercato equilibrato del lavoro, le possibilità occupazionali per un assicurato, ritenuto, da un punto di vista medico, ancora abile al lavoro in maniera completa solo in un determinato ambiente lavorativo, nel quale sia chiamato a svolgere compiti meno complessi, senza tempi assillanti, in un clima lavorativo familiare e tollerante. Il Tribunale federale ha infatti considerato che le concessioni smisurate che verrebbero richieste ad un potenziale datore di lavoro, rendono l’esercizio di un’attività lucrativa incompatibile con le esigenze attuali del mondo economico. Alla stessa conclusione è giunto il Tribunale federale anche nella STF 8C_683/2011 del 16 agosto 2012, nella quale, confermando il giudizio di questo Tribunale (cfr. STCA 35.2010.24 del 10 agosto 2011), ha concluso che “ l'assicurato, alla luce delle sue patologie, non è in grado di offrire quanto un datore di lavoro si può aspettare in condizioni normali. Le concessioni smisurate che quest'ultimo dovrebbe fare rendono pertanto l'esercizio di un'attività lucrativa incompatibile con le esigenze attuali del mondo economico”. Ritenuta l’importanza della determinazione dell’evoluzione delle patologie dell’interessato e dell’influsso delle stesse sulla sua capacità lavorativa residua, il TCA ritiene imprescindibile la messa in atto di un approfondimento peritale. 2.9.   Nella già citata sentenza 9C_243/2010 del 28 giugno 2011 (cfr. consid. 2.4.),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affinchè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constata che l’Ufficio AI ha  fondato la decisione impugnata esclusivamente sul parere dei suoi medici interni (dr. __________, dr. __________ e dr. __________ del SMR). In un caso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al considerando 2.8., si giustifica pertanto l’annullamento della decisione impugnata. L’Ufficio resistente, a cui gli atti vengono dunque retrocessi, dovrà disporre un approfondimento peritale esterno (cfr. art. 44 LPGA) di natura reumatologica e psichiatrica, volto a definire globalmente l’evoluzione delle diagnosi, delle limitazioni e delle risorse residue dell’assicurato rispetto alla situazione esistente nel 2009, allorquando è stata concessa una rendita intera di invalidità. Quindi, in esito a tali complementi istruttori, l’amministrazione si pronuncerà nuovamente sul diritto alla rendita dell’assicurato. In conclusione, la decisione del 31 luglio 2014 va quindi annullata e l’incarto retrocesso all’Ufficio AI, affinché metta in atto quanto appena esposto. 2.10. V isto l'esito favorevole del ricorso, l'assicurato, rappresentato da un legale, ha diritto al versamento da parte dell’Ufficio AI di fr. 1’800.-- a titolo di ripetibili.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