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32.2013.75 vom 28. Januar 2014</w:t>
      </w:r>
    </w:p>
    <w:p>
      <w:r>
        <w:t>TI Tribunale d'appello, 2014-01-28, IT</w:t>
      </w:r>
    </w:p>
    <w:p>
      <w:r>
        <w:rPr>
          <w:b/>
        </w:rPr>
        <w:t xml:space="preserve">Quelle: </w:t>
      </w:r>
      <w:r>
        <w:t>https://mcp.opencaselaw.ch/entscheid/ti_gerichte_32.2013.75</w:t>
      </w:r>
    </w:p>
    <w:p>
      <w:r>
        <w:t>FR: TI_GERICHTE 32.2013.75 du 28 janvier 2014</w:t>
      </w:r>
    </w:p>
    <w:p>
      <w:r>
        <w:t>IT: TI_GERICHTE 32.2013.75 del 28 gennaio 2014</w:t>
      </w:r>
    </w:p>
    <w:p>
      <w:pPr>
        <w:pStyle w:val="Heading2"/>
      </w:pPr>
      <w:r>
        <w:t>Regeste</w:t>
      </w:r>
    </w:p>
    <w:p>
      <w:r>
        <w:t>Viste le risultanze della perizia SAM, a ragione l'Ufficio AI ha riconosciuto il diritto ad una rendita intera</w:t>
      </w:r>
    </w:p>
    <w:p>
      <w:pPr>
        <w:pStyle w:val="Heading2"/>
      </w:pPr>
      <w:r>
        <w:t>Erwägungen</w:t>
      </w:r>
    </w:p>
    <w:p>
      <w:r>
        <w:rPr>
          <w:b/>
        </w:rPr>
        <w:t>E. 17</w:t>
      </w:r>
    </w:p>
    <w:p>
      <w:r>
        <w:t>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2.6.   Nel caso in esame ricevuta la domanda di prestazioni – vista la documentazione agli atti e ritenuta la valutazione del 22 giugno 2012 del medico SMR dr. __________ (doc. AI 45/1) – l’amministrazione ha ordinato una perizia pluridisciplinare a cura del SAM (doc. AI 46/1-2 e 49/1-2). Dalla perizia pluridisciplinare del 19 ottobre 2012 (doc. AI 60/1-115) risulta che i periti, dopo aver elencato gli atti ed esposto dettagliatamente l’anamnesi e le constatazioni obiettive, hanno fatto capo a due consultazioni specialistiche esterne, di natura reumatologica (dr. __________) e psichiatrica (dr. __________). Viste le risultanze dei singoli consulti e del soggiorno del ricorrente presso il citato centro d’accertamento, i periti hanno posto la seguente diagnosi: " (…) 6.1  Diagnosi con influenza sulla capacità lavorativa: Diagnosi reumatologica Gonartrosi mediale a ds. (lesione condrale focale grado IV nella circonferenza inferiore del condilo femorale mediale con piccola osteonecrosi sub condrale sottostante), in: -    esiti da microfratturazione del condilo femorale mediale, il 22.9.2011; -    esiti dal meniscectomia mediale parziale, il 22.9.2011. Esiti da revisione del tendine rotuleo con rimozione di sequestro osseo per morbo di Osgood-Schlatter, il 21.12.2010. Esiti da scarificazione del tendine rotuleo il 22.9.2011. Tendenza a ipermobilità articolare. Obesità (peso 90 kg / statura 173,5 cm). Sindrome femoropatellare a sinistra in: -    tendenza all’ipermobilità articolare; -    obesità (peso 90 kg / statura 173,5 cm). Sindrome lombospondilogena subacuta intermittente a destra in: -    disturbi statici del rachide (tendenzialmente piatto con scoliosi sinistroconvessa dorsale, protrazione del capo); -    tendenza ad ipermobilità articolare; -    decondizionamento muscolare; -    obesità (peso 90 kg / statura 173,5 cm). Diagnosi psichiatrica Nessuna 6.2  Diagnosi senza influenza sulla capacità lavorativa: Nessuna. (…)" (doc. AI 60/52) Considerati tutti gli atti medici raccolti, dopo un’attenta valutazione, il SAM ha concluso: " (…) 8                                                                                                      CAPACITÀ LAVORATIVA DISCUSSA E CONCORDATA TRA TUTTI I PERITI 8.1      Capacità lavorativa nell’attività abituale Nella sua ultima attività principale di pittore, restauratore e imbianchino durante la quale stava raramente seduto, sovente doveva camminare e stare in piedi con necessità di sollevare o portare pesi leggeri o medi, raramente anche carichi pesanti, l'A. va ritenuto abile al lavoro nella misura dello 0% dal 21.12.2010 fino al 27.8.2012 e abile al lavoro nella misura dell'80% a decorrere dal 28.8.2012, da intendersi come lavoro svolto sull'arco di una giornata lavorativa normale di 8-9 ore, con rendimento ridotto del 20%. 8.2      Evoluzione della capacità lavorativa e prognosi Come sopra descritto, dall'intervento del 21.12.2010 l'A. va ritenuto totalmente incapace al lavoro fino al 27.8.2012 nelle attività svolte ed in qualsiasi altra attività lavorativa adatta. La prognosi è da considerare stazionaria, in quanto difficilmente le cure considerate saranno in grado di modificare la capacità funzionale e di carico residua in questo A. 8.3      Capacità lavorativa nell'attività di casalingo Come casalingo l'A. deve essere ritenuto abile al lavoro nella misura di almeno l'80%. 9         CAPACITÀ DI INTEGRAZIONE Riteniamo utili provvedimenti d'integrazione professionale. 9.1      Capacità lavorativa in attività adatta In un'attività lavorativa leggera e adatta, che rispetti le limitazioni poste dal nostro consulente reumatologo, l'A. deve essere considerato abile al lavoro sull'arco di una giornata lavorativa normale di 8-9 ore, con rendimento massimo del 100% a partire dal 28.8.2012 in avanti. In precedenza l'A. va ritenuto totalmente inabile al lavoro anche in un'attività lavorativa adatta dal 21.12.2010 al 27.8.2012. 9.2      Evoluzione della capacità lavorativa e prognosi In un'attività lavorativa leggera e adatta, l'A. è in grado di svolgere a pieno la sua capacità lavorativa residua, con una prognosi che è da considerare stazionaria nel tempo. Per quanto concerne l'evoluzione della capacità lavorativa, a partire dal 21.12.2010 fino al 27.8.2012 l'A. deve essere ritenuto totalmente incapace al lavoro anche in un'attività lavorativa leggera e adatta, mentre dal 28.8.2012 la capacità lavorativa in una tale attività leggera e adatta è da ritenere completa. 10       DOMANDE PARTICOLARI Le conclusioni peritali si fondano su un'esauriente discussione tra tutti i medici periti del SAM. Domande particolari non sono poste. Lasciamo al Servizio Medico Regionale, rispettivamente all'Ufficio AI, la decisione di inviare copia della nostra perizia al medico curante, affinché sia informato sulle conclusioni peritali. (…)" (doc. AI 60/58-59) L’Ufficio AI – considerata la valutazione 14 novembre 2012 del consulente in integrazione (doc. AI 64/1-3) e ritenute le risultanze peritali, il rapporto finale 2 novembre 2012 (doc. AI 61/1-3) e l’annotazione 8 gennaio 2013 con la quale il medico SMR dr. __________ (vista la documentazione medica prodotta in sede di audizione) ha concluso che “(…) la risonanza magnetica eseguita dopo la perizia del SAM del 19 ottobre 2012 evidenzia un referto sovrapponibile a quello del 2 aprile 2012 (__________, __________), citato dal Dr. __________ nel suo consulto peritale. Nessun cenno all’oggettività clinica. In conclusione, non vi sono nuovi elementi da prendere in considerazione, si conferma la precedente proposta. (…)” (doc. AI 69/1) – con decisione 1. marzo 2013 ha quindi riconosciuto all’assicurato il diritto ad una rendita intera dal 1. dicembre 2011 al 30 novembre 2012.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Ritornando al caso in esame, questo TCA, per le ragioni di seguito esposte e richiamata la suesposta giurisprudenza in materia di valore probatorio di rapporti medici, non ha alcun motivo per mettere in dubbio la validità della perizia del SAM con la precisazione che – a differenza di quanto indicato erroneamente al punto 8.1 sia alla pagina 58 della perizia che alla “errata corrige” della stessa pagina; cfr. doc. AI 56/58 e 60/58 – nella sua ultima attività di pittore la capacità lavorativa è dello 0% dal 21 dicembre 2010 al 27 agosto 2012 e in seguito del 20% da intendersi come diminuzione del rendimento dell’80% sull’arco di tutta la giornata. In questo senso il dr. __________, FMH in reumatologia, nel consulto del 27 agosto 2012 (doc. AI 60/62-72) ha concluso che “(…) nella sua ultima attività principale come pittore/restauratore, imbianchino durante la quale stava raramente seduto, sovente doveva camminare, stare in piedi con necessità di sollevare o portare pesi leggeri (da 0 a 10 kg) o medi (da 10 a 25 kg), raramente anche carichi pesanti (superiori ai 25 kg), giudico l’assicurato inabile al lavoro al 100% dal 21.12.2010, fino al 27.8.2012 e nella misura dell’80% a decorrere dal 28.8.2012, da intendersi come lavoro svolto sull’arco di una giornata lavorativa normale di 8 – 9 ore, con una diminuzione del rendimento dell’80%. (…)” (doc. AI 60/72). Valutazione, questa, ripresa dai periti del SAM in sede di “discussione di consenso” (cfr. doc. AI 60/53-57, in particolare 60/57 in fine) e dal dr. __________ nell’annotazione del 20 aprile 2013 (cfr. VII/bis parzialmente riprodotto al consid. 1.4). Il dr. __________, FMH in reumatologia, nel rapporto del 18 gennaio 2012 indirizzato alla Cassa malati (doc. 12/1-8 dell’incarto cassa malati) – descritte la revisione del tendine rotuleo associato alla rimozione di un sequestro osseo per un morbo di Osgood Schlatter (intervento del 21 dicembre 2010, all’origine dell’incapacità lavorativa certificata del 100%, con complicazioni pre e post operatorie), i pareri degli altri specialisti ortopedici intervenuti, la revisione chirurgica a cura del dr. __________ (operazione del 22 settembre 2011), la RM del 24 novembre 2011 e le valutazioni dell’ortopedico dr. __________ – , aveva concluso che “(…) le condizioni attuali del paziente non sono ancora quelle definitive. L’incapacità lavorativa certificata del 100% risulta ulteriormente giustificata e riguarda sia l’attività lucrativa svolta di pittore e qualsiasi altro lavoro detto confacente. Consiglio all’Assicurazione __________ di aggiornarsi sull’evoluzione presso gli ortopedici curanti Prof. __________ e __________ (che vedrà il paziente nuovamente il 16.2.2012). Resto a disposizione per riesaminare il paziente una volta conclusesi le cure con allora una valutazione anche della esigibilità. (…)” (doc. 12/8 dell’incarto cassa malati). Lo stesso specialista, con lettera del 29 maggio 2012 indirizzata al medico fiduciario della cassa malati, circa la chiesta rivalutazione, si era così espresso: “(…) dagli atti recenti risulta uno stato clinico poco chiaro che non avrebbe permesso ai medici curanti di stabilire la vera causa dei disturbi accusati, apparentemente tuttora invalidanti per lo meno sul piano soggettivo. Mi sembra di capire tra le righe che nel suo ultimo controllo del 12.04.2012 l’ortopedico Dr. __________ ritenne poco oggettivabile quanto asserito dal paziente. Forse anche per non dover prendere ulteriormente posizione in merito alla futura capacità lavorativa lo specialista chiede esplicitamente all’__________ di organizzare una valutazione in un Centro Specialistico eventualmente nella Svizzera Francese oppure nella Svizzera Tedesca. Alla luce della situazione agli atti (comprendente anche un consulto reumatologico da parte del Dr. __________, anch’esso senza conclusioni diagnostiche precise) non penso che la mia visita porterà ad elementi nuovi finora non considerati. […] L’ipotesi di una componente somatoforme (o di un aggravamento) come lo lascia intendere il Dr. __________ è ovviamente possibile. Dall’altra parte non c’é dubbio di un rimanente danno intraarticolare nel ginocchio operato a due riprese con una RM recente che ha confermato una condropatia del IV grado nel compartimento femoro-tibiale mediale. (…)” (doc. 18/1-2 dell’incarto cassa malati). Sulla base delle suddette risultanze mediche – appurato che la Cassa malati aveva rinunciato alla rivalutazione a cura del dr. __________ (cfr. doc. AI 44/1) e ritenuto che l’oggettività clinica e la diagnostica per immagine non spiegano l’entità dei disturbi persistenti – il dr. __________, nell’annotazione del 22 giugno 2012 (doc. AI 45/1), ha proposto l’esecuzione di una perizia pluridisciplinare (reumatologica e psichiatrica) volta a definire i limiti funzionali e quantificare la capacità lavorativa. Come accennato (cfr. consid. 2.6) – elencati i numerosi atti medici agli atti e quelli richiesti, descritta l’anamnesi, esposte le constatazioni obiettive e i consulti specialistici effettuati – i periti del SAM, i quali hanno compiutamente valutato le differenti affezioni di cui l’assicurato è portatore, hanno concluso per un’incapacità totale al lavoro in qualsiasi attività dal 21 dicembre 2010 al 27 agosto 2012 (data della visita di cui al consulto dello stesso giorno del dr. __________; doc. AI 60/62-72) e per una capacità al lavoro, dal 28 agosto 2012, del 20% nell’attività abituale (flessione del rendimento dell’80%) e del 100% in un’attività adeguata rispettosa dei limiti funzionali posti. La dettagliata ed approfondita valutazione del SAM non é stata validamente smentita da altri certificati da parte di medici specialisti attestanti nuove patologie. Tali non possono certo essere né il certificato medico 30 novembre 2012 nel quale il dr. __________, FMH in medicina interna generale – oltretutto senza confrontarsi con la perizia del SAM e senza esprimersi sulla capacità lavorativa in un’attività adeguata – , si è limitato a certificare che “(…) il signor RI 1 resta inabile al lavoro al 100% in qualità di pittore decoratore imbianchino, professione per la quale è assunto e per la quale riceve l’80% del salario assicurato da parte dell’assicura-zione perdita di guadagno di salario sino al 30.11.12. (…)” (doc. AI 67/3), né il referto della risonanza magnetica ginocchio dx del 12.11.2012, nel quale il dr. __________, capo clinica di radiologia dell’Ospedale Regionale di __________ – rilevato, in particolare, che “(…) esame confrontato con precedente controllo del 02.04.2012 [ndr: atto questo considerato dai periti del SAM] rispetto al quale non si rilevano sostanziali modificazioni. (…)” (doc. 67/4) – , non si è espresso sulla capacità lavorativa. Al riguardo anche il dr. __________, nell’annotazione 8 gennaio 2013, ha concluso che “(…) la risonanza magnetica eseguita dopo la perizia del SAM del 19 ottobre 2012 evidenzia un referto sovrapponibile a quello del 2 aprile 2012 (__________), citato dal Dr. __________ nel suo consulto peritale. Nessun accenno all’oggettività clinica. (…)” (doc. AI 69/1). Va qui inoltre rilevato che l’incapacità lavorativa riconosciuta dall’assicurazione per la perdita di guadagno non vincola l’assicurazione invalidità; nella STF 9C_882/2009 e 9C_887/2009 del 1. aprile 2010 l’Alta Corte ha infatti osservato che “(…) eine von einem privaten Kollektiv-Taggeldver-sicherer angenommene Arbeitsunfähigkeit keine bindende Wirkung für die Invalidenversicherung haben kann, die das Mass der Arbeitsunfähigkeit durch Gutachter abklären liess. (…)” ( STF succitata del 1. aprile 2010 consid. 3). Nemmeno è possibile concludere differentemente avuto riguardo alla nuova documentazione medica prodotta in sede di procedura ricorsuale e non considerata dai periti del SAM. Al riguardo il dr. __________ – visti i rapporti 6 novembre 2012 del dr. __________ e 8 novembre 2012 della degenza dal 2 al 20 ottobre 2012 presso la Clinica di riabilitazione di __________, i certificati 27 e 30 novembre 2012 del dr. __________ rispettivamente del dr. __________ e la RM del ginocchio destro del 12.11.2012 ( doc. A/1-5) – , nell’annotazione 20 aprile 2013, ha osservato che “(…) da questa documentazione risulta espressamente una situazione clinica e soggettiva invariata. L’evidenza di una situazione invariata permette di non dover sottoporre l’attuale documentazione ai periti SAM. […] Essendo la problematica invalidante limitata al ginocchio senza dolori in posizione seduta, un’attività sedentaria può essere svolta senza particolari impedimenti come giustamente ritenuto dal SAM. (…)” (VII/bis). Invitato espressamente a prendere posizione sull’annotazio-ne 20 aprile 2013 del dr. __________ (VIII), l’insorgente, dopo la chiesta proroga del termine (IX e X), si è limitato a sostenere che “(…) in effetti, […] nonostante la giovane età, è seriamente debilitato non solo nella sua attività lavorativa, ma […] non riesce a prendere in braccio il figlioletto, né a trasportare delle borse della spesa. (…)” (XI) ed a produrre il certificato del 22 maggio 2013 nel quale il dr. __________ non si è confrontato con il dr. __________ riferendo in modo del tutto generico che il signor RI 1 “(…) mi ha dichiarato di avere un dolore persistente al ginocchio destro, da qualche tempo dolori meccanici ricorrenti all’anca destra (…)” e che (considerato che i diversi specialisti intervenuti non hanno formulato proposte concrete) si è “(…) limitato a prescrivere degli analgesici di tipo “centrale” ovvero Tramadol retard. (…)” (doc. C).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 In simili circostanze, stante quanto precede, questo Tribunale deve dunque confermare un’inabilità totale al lavoro in qualsiasi attività dal 21 dicembre 2010 al 27 agosto 2012 e, dal 28 agosto 2012, una capacità al lavoro del 20% nell’attività abituale e del 100% in un’attività adeguata rispettosa dei limiti funzionali posti. 2.9.   Quanto alla reintegrabilità sul mercato del lavoro il consulente in integrazione, nella valutazione del 14 novembre 2012 (doc. AI 64/1-3), ritenuta una capacità lavorativa totale in un’attività adeguata, ha concluso che “(…) nel caso specifico, non si intravvedono attività esigibili adeguate oltre a quelle di tipo semplice e ripetitivo indicate nella categoria 4.2 che possano permettere all’A. di ridurre il grado d’invalidità (…)” (doc. AI 63/3). L’insorgente non ha messo in dubbio questa valutazione evidenziando che “(…) nel suo stato di salute e con l’inabilità lavorativa riconosciuta dall’Ufficio AI [ndr. si riferisce all’inabilità dell’80% nella sua attività abituale; cfr. VII e VII/bis] evidentemente egli potrebbe svolgere attività solo da posizione seduta, ciò che con il suo diploma è poco realizzabile, considerando inoltre la difficile congiuntura. (…)” (XI). La questione relativa alle attività professionali concretamente realizzabili è di competenza del consulente in integrazione professionale (STF 9C_13/2007 del 31 marzo 2008, consid. 3;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Ritenuta la suenunciata giurisprudenza questo Tribunale non ha, nel caso concreto, motivo per mettere in dubbio le suenunciate conclusioni del consulente che non sono, del resto, nemmeno state puntualmente contestate. 2.10.   Quanto alla valutazione economica – in quanto tale rimasta incontestata – questo Tribunale si limita ad osservare quanto segue. Nel 2012, partendo dal reddito di fr. 55'003.-- per il 2010 (doc. AI 11/1-3) – calcolato in base alle indicazioni del datore di lavoro avuto riguardo ad un salario mensile di fr. 4'231.-- per tredici mensilità) – , il reddito da valido ammonta a fr. 55'997.45 (55'003.-- aggiornati al 2012 aumentandoli del 1% per il 2011 e del 0.8% per il 2012; cfr. la tabella B10.2 relativa all’evoluzione dei salari nominali totali, pubblicata il La Vie économique 10-2013 pag. 91). Nel 2012, utilizzando i dati forniti dalla tabella TA1 elaborata dall'Ufficio federale di statistica, il ricorrente, svolgendo un’at-tività semplice e ripetitiva, livello di qualifica 4, avrebbe potuto realizzare un reddito annuo ipotetico da invalido pari a fr. 62'420.02 ( fr. 4'901.-- [ultimo dato disponibile valido per il 2010] aggiornati al 2012 e riportati su 41.7 ore [ cfr. tabella B 10.2 e B 9.2, pubblicata in La Vie économique, 10-2013, pag. 90-91 ] moltiplicati per 12 [ ritenuto che la quota di tredicesima è già compresa, cfr. STFA U 274/98 del 18 febbraio 1999, consid. 3a] ). Ritenuta una capacità lavorativa del 100% in un’attività adeguata (cfr. consid. 2.8) e applicata una riduzione del 10% – nella nota 5 novembre 2012 il consulente in integrazione ha stabilito che “(…) visto quanto espresso in precedenza, si stabilisce una riduzione al reddito da invalido del/lo 5% per attività leggere e del/lo 5% per altri fattori di riduzione. (…)” (doc. AI 62/3) – il reddito da invalido si attesta a fr. 56'178.01 ( 62'420.02 x ridotti del 10%). Ritenuti un’incapacità lavorativa totale in qualsiasi attività dal 1. dicembre 2010 e un grado d’invalidità nullo a contare dal 28 agosto 2012 è dunque a ragione che l’Ufficio AI ha riconosciuto il diritto ad una rendita intera dal 1. dicembre 2012 (dopo l’anno di carenza ex art. 28 cpv. 1 lett. b LAI) fino al 30 novembre 2012 (cfr. art. 88a cpv. 1 OAI). 2.11.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dell’art. 17 LAI è un assicurato che, a causa del tipo e della gravità del danno alla salute subìto, patirebbe senza una riformazione professionale, una perdita di guadagno pari almeno al 20% (DTF 124 V 110 consid. 2b, cfr. anche STCA del 31 ottobre 2011 [32.2011.96]). Inoltre con STF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 segue che a giusta ragione l’Ufficio AI ha negato il diritto a provvedimenti professionali visto che anche nella presente fattispecie l’insorgente gode di un ampio ventaglio di professioni possibili che non richiedono particolari misure di reintegrazione professionale. Inoltre, anche il consulente in integrazione ha evidenziato che “(…) come risulta dal calcolo della capacità di guadagno residua presente nell’incarto, l’Assicurato presenta un grado d’invalidità dello 0%. Nessun diritto a rendita. Con questo presupposto non vi sono neppure le condizioni di diritto per riconoscere dei provvedimenti professionali secondo l’art. 17 LAI. Procediamo alla chiusura del mandato e restiamo a disposizione per eventuali domande supplementari. Vi saremmo grati se potrete aprire un mandato di aiuto al collocamento. (…)” (doc. AI 64/3).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2.13.   L’assicurato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del SAM e quella del consulente in integrazione hanno permesso di accertare con la dovuta chiarezza il grado d’invalidità e l’insorgente, anche se patrocinato da un legale, non ha apportato alcun valido elemento atto a contraddire o a mettere in dubbio tali valutazioni. Come visto sopra, l’insorgente in corso di procedura ricorsuale (anche se invitato espressamente a farlo) non ha prodotto alcuna documentazione medica idonea a contestare le valutazioni dei periti del SAM e dei medici SMR e questo nonostante non gli poteva sfuggire la necessità di documentare debitamente le allegazioni secondo le quali la valutazione medica (si trattava delle risultanze di una valutazione pluridisciplinare del SAM confermata dai medici SMR) non fosse valida e/o le ragioni che rendessero verosimile una rilevante modifica del suo stato di salute subentrata prima della decisione impugnata del 1. marzo 2013.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