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32.2013.217 vom 11. November 2013</w:t>
      </w:r>
    </w:p>
    <w:p>
      <w:r>
        <w:t>TI Tribunale d'appello, 2013-11-11, IT</w:t>
      </w:r>
    </w:p>
    <w:p>
      <w:r>
        <w:rPr>
          <w:b/>
        </w:rPr>
        <w:t xml:space="preserve">Quelle: </w:t>
      </w:r>
      <w:r>
        <w:t>https://mcp.opencaselaw.ch/entscheid/ti_gerichte_32.2013.217</w:t>
      </w:r>
    </w:p>
    <w:p>
      <w:r>
        <w:t>FR: TI_GERICHTE 32.2013.217 du 11 novembre 2013</w:t>
      </w:r>
    </w:p>
    <w:p>
      <w:r>
        <w:t>IT: TI_GERICHTE 32.2013.217 del 11 novembre 2013</w:t>
      </w:r>
    </w:p>
    <w:p>
      <w:pPr>
        <w:pStyle w:val="Heading2"/>
      </w:pPr>
      <w:r>
        <w:t>Regeste</w:t>
      </w:r>
    </w:p>
    <w:p>
      <w:r>
        <w:t>Rinvio degli atti,affinché l'amministrazione, alla luce del peggioramento della patologia cervicale evidenziata dagli specialisti, metta in atto i necessari accertamenti sia a livello reumatologico che neurologico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Va poi ricordato che, secondo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del TFA,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2.5.   L'Alta Corte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Una diversa valutazione di uno stato di fatto rimasto invariato ed inizialmente approfonditamente esaminato non costituisce né un caso di revisione, né un caso di riconsiderazione (cfr. STFA I 8/04 del 12 ottobre 2005 pubblicata in plaidoyer 1/06, pag. 64-65).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9C_697/2013 del 15 novembre 2013 consid. 3.2.; 9C_721/2012 del 24 ottobre 2012 consid. 4.4. con riferimenti;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Nella decisione dell’11 novembre 2013 , l’Ufficio AI ha attribuito all’assicurata una rendita intera di invalidità dal 1° aprile 2011 al 31 ottobre 2012, sopprimendola poi a partire dal 1° novembre 2012, ritenuto che dalle valutazioni peritali del Dr. __________ e del Dr. __________ e del successivo raffronto dei redditi, è emerso che l’interessata non presenta un grado di invalidità pensionabile dopo tale data. Il TCA è, quindi, chiamato a valutare, alla luce di quanto esposto ai considerandi 2.6. e 2.7., se l’UAI ha correttamente o meno soppresso la rendita spettante a RI 1 a fare tempo dal 1° novembre 2012. 2.10. Dagli atti di causa risulta che l’Ufficio AI ha fondato la propria decisione – dal punto di vista medico – sulle perizie specialistiche del 30 luglio 2011 e del 17 settembre 2012 del Dr. __________ (il perito reumatologo aveva valutato l’assicurata – sempre per la __________ – già il 15 ottobre 2010) e su quella del 4 febbraio 2013 del Dr. __________. Il Dr. __________, spec. FMH in reumatologia e perito certificato SIM, nel referto del 30 luglio 2011 – svolto per conto della __________ – ha posto la seguente diagnosi: " (…) Sindrome cervicospondilogena cronica a sinistra in - Alterazioni degenerative del rachide cervicale con osteocondrosi C4/C5 con bulging discale asimmetrico, con leggero restringimento                          del forame di coniugazione a sinistra, marcata osteocondrosi C5/C6                               con ernia discale paramediana a destra con leggero restringimento                       osteodiscale dei forami di coniugazione bilaterali e leggera                                        compressione del midollo spinale, incipiente osteocondrosi C6/C7                            con leggero bulging discale con moderato restringimento del forame                        di coniugazione della radice di C7 a sinistra . Sindrome lombospondilogena cronica a destra in - Alterazioni degenerative della colonna lombare (moderata                                        osteocondrosi L3/L4 con contatto e con deviazione delle radici di                            L5 bilateralmente, moderata osteocondrosi con spondilartrosi L5/S1) - Anomalia di transizione lombosacrale con lombarizzazione di S1 - Disturbi statici del rachide - Tendenza ad ipermobilità articolare - Decondizionamento e sbilancio muscolare Periartropatia omeroscapolare a sinistra con sintomatologia di attrito Probabile evoluzione verso una sindrome del dolore aspecifico”                  (doc. AI 53-19). Il Dr. __________ ha quindi valutato l’assicurata inabile al 100% “ in quanto cure specifiche ancora in atto ” (doc. AI 53-19). In merito alla prognosi, lo specialista ha indicato che al termine delle cure presso la __________ l’assicurata potrà riprendere il lavoro precedente di ausiliaria di pulizie nella misura del 25%, mentre quale estetista al 50% (do. AI 53-20). A seguito dell’intervento di decompressione interlaminare ed interspinosa microchirurgica L4/L5, svolto il 27 gennaio 2012 alla __________, l’amministrazione ha predisposto un nuovo accertamento medico presso il Dr. __________ (doc. AI 82-19). Nella perizia del 17 settembre 2012 il Dr. __________ ha posto la       seguente diagnosi: " (…) Sindrome cervicospondilogena cronica bilaterale - Alterazioni degenerative della colonna cervicale (osteocondrosi                            C4/C5 con bulging discale asimmetrico, con leggero restringimento                          del forame di coniugazione a sinistra, marcata osteocondrosi C5/C6                                con ernia discale paramediana destra con leggero restringimento osteodiscale dei forami di coniugazione bilaterali e leggera                                        compressione del midollo spinale, di incipiente osteocondrosi C6/C7                         con leggero bulging discale con moderato restringimento del forame                        di coniugazione della radice di C7 a sinistra). Sindrome lombovertebrale cronica in - Esiti da decompressione interlaminare ed interspinosa                                          microchirurgica L4/L5 dalle due parti, il 27.1.2012 - Alterazioni degenerative plurisegmentali del rachide lombare                                    (osteocondrosi L3/L4 con bulging discale, discopatia L4/L5,                                         osteocondrosi con spondilartrosi L5/S1) - Anomalia di transizione lombosacrale con lombarizzazione di S1 - Disturbi statici del rachide - Tendenza ad ipermobilità articolare - Decondizionamento e sbilancio muscolare Periartropatia omeroscapolare a sinistra” (doc. AI 83-21). Il perito, facendo riferimento alla valutazione di decorso della __________ del 12 marzo 2012 (doc. LaMal 59-1), riferiva di un decorso postoperatorio molto soddisfacente, con regressione della sintomatologia algica preoperatoria e possibilità di ripresa progressiva del lavoro all’inizio di aprile 2012 (doc. AI 83-20). Il Dr. __________ ha perciò ritenuto l’assicurata abile nella sua ultima attività di ausiliaria di pulizie dal 27 luglio 2012 (sei mesi dopo l’intervento chirurgico alla __________) sull’arco di una giornata normale di lavoro con una diminuzione del rendimento del 75%. Quale estetista invece la diminuzione del rendimento è del 50%, mentre in attività adeguata l’abilità è del 100%, sempre a partire dalla medesima data (doc. AI 83-21+22). Su indicazione del Dr. __________, l’Ufficio AI ha predisposto anche una valutazione neurologica presso il Dr. __________ (cfr. doc. AI 83-20, pag. 20). Il perito si è così espresso: “ L’assicurata va anche sottoposta a perizia neurologica specialistica, in quanto presenta una possibile paresi all’arto inferiore destro rispettivamente non è esclusa una componente cervicoradicolare irritativa ”). Il Dr. __________, spec. FMH in neurologia, nella valutazione peritale del 4 febbraio 2013 ha posto la seguente diagnosi con ripercussioni sulla capacità di lavoro: " Sindrome lombospondilogena cronica con: - stato da decompressione interlaminare e interspinosa                                             microchirurgica L4/L5 bilaterale (27.01.2012) -          modeste alterazioni degenerative lombari ai livello L3/L4 e L4/L5 e                  L5/S1 - attualmente senza deficit neurologici radicolari Sindrome cervicospondilogena cronica bilaterale con: -          alterazioni degenerative principalmente ai livelli C5/C6 e C6/C7                      senza lesioni delle strutture nervose a questo livello” (doc. AI 91-                              6+7). A mente del perito dal punto di vista neurologico “ non vi sono reperti determinanti un’incapacità lavorativa ” (doc. AI 91-8). 2.11.   Questo Tribunale, chiamato a verificare se lo stato di salute della ricorrente è stato accuratamente vagliato dall’amministrazione prima dell’emissione della decisione impugnata, dopo attenta analisi della documentazione medica agli atti, non può confermare l’operato dell’amministrazione, in quanto i disturbi di cui soffre non sono stati chiariti in modo soddisfacente. Al riguardo il TCA rileva innanzitutto che in sede di osservazioni al progetto di decisione l’assicurata, a quel momento patrocinata dall’avv. __________, ha prodotto il rapporto di risonanza magnetica del 6 dicembre 2012 della Dr.ssa __________ dell’Ospedale regionale di __________, che ha messo in evidenza un cambiamento a livello C6-C7 con un “ incipiente quadro di osteocondrosi conosciuta a cui si associa attualmente componente di ernia discale medio-laterale destra che indenta il midollo ” (doc. AI 102-4). Nelle annotazioni dell’11 aprile 2013 il Dr. __________ ha indicato semplicemente che la risonanza magnetica “ è stata presa in considerazione durante la perizia neurologica ” (doc. AI 104-1). Il precedente legale di RI 1 ha poi prodotto il rapporto RM del 10 maggio 2013 della Clinica __________ (doc. AI 109-1) e i referti del 7 e 24 giugno 2013 della __________ di __________ (doc. AI da 110-2 a 110-9). Su indicazione del medico Dr. __________ del SMR, l’Ufficio AI ha sottoposto la documentazione medica ai due periti, Dr. __________ e Dr. __________ (doc. AI 113-1, 114-1, 115-1). Il 12 agosto 2013 il Dr. __________ ha indicato, in particolare: " (…) Il 10.5.2013, la risonanza magnetica del rachide cervicale mostrava discopatie plurisegmentali da C4 a C7 già, note al momento della mia valutazione peritale del 17.9.2012; l'indagine neuroradiologica del rachide cervicale del 10.5.2013 era anche a disposizione della specialista FMH in neurologia Dr.ssa __________ della clinica __________ il 4.6.2013, la quale nel suo scritto del 24.6.2013 concludeva: "Klinisch: schmerzhaft bedingte Bewegungseinschränkung, ausgeprägte myofasziale Komponente, keine fokal neurologischen Defizite. ENNG: normale Kennmuskulatur C5-C7 rechts-, normale Medianus- und Ulnarisneurographie beidseits"; la specialista in neurologia Dr.ssa __________ sottolineava che al momento della sua valutazione, l'assicurata non assumeva farmaci analgesici in via regolare; sul piano terapeutico, la neurologa proponeva di introdurre un trattamento miorilassante, l'inizio di un trattamento fisioterapico, un approccio diagnostico-terapeutico infiltrativo delle faccette intraapofisarie C6/C7 dalle due parti e C5/C6 bilateralmente, in caso di insuccesso un'infiltrazione interfaccettaria C4/C5 dalle due parti; nello scritto antecedente del 6.6.2013, lo specialista FMH in neurochirurgia Dr. __________ della clinica __________, scriveva: "Trotz der starken Schmerzen wird auf eine Oralanalgesie nur sporadisch zurückgegriffen. Die Schmerzintensität wird derzeit mit einem VAS 5-6 angegeben. Spezielle Auslöser für die Schmerzen sind nicht erurierbar. Frau RI 1 arbeitet in einem Manikür-Salon und ist dort zu 100 % arbeitstätig.". In sintesi, mettendo a confronto i dati soggettivi ed oggettivi eruiti durante la perizia reumatologica del 17.9.2012 ma anche durante quella neurologica del 29.1.2013, con la documentazione medica sopra elencata messami ora gentilmente a disposizione, non sono subentrati cambiamenti dello stato di salute della vostra assicurata in grado di modificare la valutazione della capacità funzionale e di carico residua e quindi della capacità lavorativa nell'ultima attività espletata come pure in lavori adatti allo stato di salute, formulati nello scritto peritale del 17.9.2012.” (doc. AI 117-2). Il Dr. __________, dal canto suo, ha rilevato quanto segue: " (…) La documentazione più recente rispetto alla mia valutazione del 29.01.2013 non porta nuovi elementi per quel che riguarda gli aspetti neurologici. Si conferma da un lato la presenza di dolori a livello cervicale e lombare, una dettagliata valutazione neurologica con anche esteso esame elettrofisiologico eseguito presso clinica __________ conferma, come già avevo descritto nel mio esame, l'assenza di deficit neurologici sia a livello del cingolo scapolare che del cingolo pelvico, in particolare anche a questo esame si escludono deficit radicolari agli arti superiori. La problematica a livello lombare viene descritta come di grado lieve ("leicht"). La situazione concernente i dolori sembra essere peggiorata rispetto alla mia valutazione a livello cervicale, dove si parla di una sindrome cervicale acuta. Non si sono però modificati gli aspetti strettamente neurologici a proposito dei quali avevo preso posizione nella mia valutazione. La componente cervicospondilogena algica è di competenza reumatologica e dunque eventualmente questo aspetto dovrà essere rivalutato in questo ambito. Per quel che riguarda invece gli aspetti neurologici penso che la dettagliata valutazione alla clinica __________ sia sufficiente per confermare in pratica il reperto già da me descritto alla fine di gennaio 2013, che risultava, per gli aspetti neurologici, normale." (doc. AI 116-2+3) Nel mese di febbraio 2014 la patrocinatrice di RI 1 ha prodotto il rapporto del 30 ottobre 2013 della __________ (successivo all’ultima valutazione del Dr. __________, ma antecedente alla decisione impugnata), in cui il Dr. __________ ha riferito che dopo le infiltrazioni in C5/6 e C6/7 del luglio 2013, vi è stata una ricomparsa dei dolori: “ Im Anschluss an die Facettengelenksinfiltration C5/6 und C6/7 beidseits vom 19.07.2013 war die Patientin für sieben Wochen schmerzfrei. Nun sind die bekannten Schmerzen erneut vorhanden ”. Questo ha reso necessaria una nuova infiltrazione (doc. S). La rappresentante della ricorrente ha poi prodotto lo scritto del 14 gennaio 2014 del Dr. __________ della __________, nel quale quello specialista ha comunicato al medico curante Dr. __________ l’indicazione per un intervento di fissazione di almeno due vertebre della colonna vertebrale (C5/C7), con possibilità anche del segmento C4/5: “ Aufgrund des guten Ansprechens auf die Infiltrationen ist hier sicherlich eine Operationsindikation gegeben. Diese würde dann aus einer Spondylodese C5 bis C7 bestehen. Leider besteht auch im Segment C4/5 bereits eine Bandscheiben protrusion mit einer Einengung des cervicalen Spinalkanals, so dass man bei einer Zweihöhenfusion überlegen müsste, ob auch dieses Segment miterfasst werden müsste. Die andere Frage, die sich jedoch stellt ist, ob beide infiltrierten Segmente tatsächlich auch symptomatisch sind. Nachdem dieser Umstand das Ausmass der Operation durchaus wesentlich mitbestimmt, denke ich, ware es hier sicherlich sinnvoll noch eine Stufendiagnostik durchzuführen, beginnend im Segment C6/7, anschliessend C5/6 und gegebenenfalls auch C4/5 aus rein diagnostischen Gesichtspunkten. Im Anschluss an diese Stufendiagnostik wurde ich mich dann erneut mit der Patientin zusammensetzen und den definitiven operativen Eingriff planen und durchführen. Zur Durchführung der Stufendiagnostik würde ich Herrn Dr. __________ erneut bitten, die Patientin direct Aufzubieten. ” (doc. M) Nello scritto del 29 gennaio 2014 il Dr. __________, spec. FMH in medicina interna, ha poi censurato la valutazione reumatologica del Dr. __________, in particolare per quanto riguarda la patologia cervicale, ed ha rilevato: " (…) Nel rapporto peritale datato 17.09.2012 del perito Dr. med. __________ reumatologo ed in particolare alla pagina 21 sotto il capoverso B e C "conseguenze sulla capacità del lavoro e conseguenze sulla capacità d'integrazione" lo stesso perito scrive: “Per le patologie di stretta competenza reumatologica giudico l'assicurata a distanza di sei mesi dall'intervento neurochirurgico subito al rachide lombare il 27.01.2012”. Con questa premessa, si evincono chiaramente due punti fondamentali per cui questa valutazione non va presa in considerazione. Il primo è che viene scotomizzata la situazione a livello della colonna cervicale, tralasciando quindi un'importante fonte di sofferenza e di limitazione funzionale che la paziente ha sempre denunciato come essere estremamente invalidante. Come secondo ulteriore punto il Dr. med. __________, non ha a mio avviso il diritto di esprimersi su degli aspetti puramente neurochirurgici, in particolare in quanto attiene alla patologia cervicale. A tutto ciò, bisogna aggiungere (vedi documenti in allegato) che la paziente, in data 05.10.2013, ha subito inoltre un incidente automobilistico con un colpo di frusta cervicale che è andato evidentemente a peggiorare la già critica situazione. Non per nulla, è stata poi presa a carico presso la __________, dove ha subito valutazioni neurologiche, terapie infiltrative e probabilmente finirà per doversi pure sottoporre ad un intervento neurochirurgico cervicale. Alla luce di ciò, trovo assurda la decisione presa dall'Assicurazione Invalidità. La situazione clinica deve sicuramente essere rivalutata perché intervenuto un cambiamento radicale dello stato disalute della mia paziente.” (doc. P) Il TCA constata che questa nuova documentazione medica non è più stata sottoposta alla valutazione, né di un reumatologo, né di un neurologo. Nelle annotazioni del 12 febbraio 2014 il medico del SMR, Dr. __________, ha concluso che la documentazione della __________ non oggettiva una sostanziale modifica della situazione clinica (doc. XII1). Questo Tribunale non può condividere le conclusioni dell’amministrazione. Dalla documentazione medica prodotta dalla ricorrente emerge un peggioramento della patologia cervicale, antecedente alla decisione impugnata, che ha successivamente reso necessario un intervento chirugico di spondilodesi (doc. T1 e doc. XX+1-2). Agli atti vi è innanzitutto la risonanza magnetica del 6 dicembre 2012 della Dr.ssa __________ che aveva già messo in evidenza un cambiamento a livello C6-C7 rispetto al precedente esame (doc. AI 102-4). Inotre, nelle osservazioni del 30 luglio 2013 il perito neurologo Dr. __________ indicava che “ La situazione concernente i dolori sembra essere peggiorata rispetto alla mia valutazione a livello cervicale, dove si parla di una sindrome cervicale acuta ” (doc. 116-2, la sottolineatura è del redattore). Il peggioramento emerge poi dal rapporto del 30 ottobre 2013 della __________, in cui viene riferito della ricomparsa dei dolori in C5/6 e C6/7 e della necessità di una nuova infiltrazione (doc. S). Nello scritto del 14 gennaio 2014 della __________ si giunge poi all’indicazione di un intervento di fissazione di almeno due vertebre della colonna vertebrale (C5/C7), con possibilità anche del segmento C4/5 (doc.M). RI 1 ha inoltre subìto l’intervento di spondilodesi “ Ventrale Diskektomie C5/6 und C6/7 und Spondylose mit Cage und Platte ” alla __________ nel mese di luglio 2014 (degenza dal 1° al 7 luglio 2014) (doc. T1 e doc. XX+1-2). In simili condizioni, secondo questo Tribunale non è possibile, senza prima procedere ad un complemento peritale reumatologico / neurologico concludere con sufficiente tranquillità che lo stato valetudinario dell’assicurata, dal profilo strettamente somatico, giustifichi una capacità lavorativa del 25%, quale ausiliaria di pulizie, del 50% quale estetista e una piena abilità in attività adeguata, come indicato dai periti Dr. __________ e Dr. __________ In tale contesto va ricordato che il Tribunale federale - a proposito del principio sopra esposto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2.12.   Nella già citata sentenza 9C_243/2010 del 28 giugno 2011 (cfr. consid. 2.8.)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alla luce del peggioramento della patologia cervicale evidenziato dagli specialisti della __________, metta in atto i necessari approfondimenti sia a livello reumatologico che neurologico (consid. 2.11.) intesi a delucidare sia l’aspetto diagnostico, sia le ripercussioni sulla capacità lavorativa dell’assicurata. Quindi, in esito a tale complemento istruttorio, l’amministrazione si pronuncerà nuovamente sul diritto alla rendita dell’assicurata. 2.13. V isto l'esito favorevole del ricorso, l'assicurata, patrocinata da un legale, ha diritto al versamento da parte dell’Ufficio AI di fr. 1’800.-- a titolo di ripetibili.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