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32.2013.193 vom 26. September 2013</w:t>
      </w:r>
    </w:p>
    <w:p>
      <w:r>
        <w:t>TI Tribunale d'appello, 2013-09-26, IT</w:t>
      </w:r>
    </w:p>
    <w:p>
      <w:r>
        <w:rPr>
          <w:b/>
        </w:rPr>
        <w:t xml:space="preserve">Quelle: </w:t>
      </w:r>
      <w:r>
        <w:t>https://mcp.opencaselaw.ch/entscheid/ti_gerichte_32.2013.193</w:t>
      </w:r>
    </w:p>
    <w:p>
      <w:r>
        <w:t>FR: TI_GERICHTE 32.2013.193 du 26 septembre 2013</w:t>
      </w:r>
    </w:p>
    <w:p>
      <w:r>
        <w:t>IT: TI_GERICHTE 32.2013.193 del 26 settembre 2013</w:t>
      </w:r>
    </w:p>
    <w:p>
      <w:pPr>
        <w:pStyle w:val="Heading2"/>
      </w:pPr>
      <w:r>
        <w:t>Regeste</w:t>
      </w:r>
    </w:p>
    <w:p>
      <w:r>
        <w:t>Respinta domanda dell'assicurata dopo valutazione reumatologica e economica. Tasso di invalidità 17%. Esiste un mercato del lavoro sufficientemente ampio in cui realizzare la sua capacità lavorativa residua in attività leggere. AG accolta</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a ragione oppure no l’Ufficio AI ha negato all’assicurata il diritto ad una rendita di invalidità.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2.4. Nel caso di specie, l’Ufficio AI, al fine di valutare lo stato di salute dell’interessata, ha affidato al Dr. __________ il mandato di esperire una perizia medica reumatologica. Il Dr. __________, spec. FMH in reumatologia e medicina interna, nel referto peritale del 13 maggio 2013, dopo aver esposto l’anamnesi della paziente, i dati soggettivi e le constatazioni obiettive, ha posto la seguente diagnosi: " (…) Sindrome lombospondilogena cronica bilaterale con possibile componente radicolare irritativa L5 a destra in - Esiti da sequestrectomia L4/L5 il 25.9.2009 e sequestrectomia                                           L4/L5 con neurolisi di L5 per recidiva erniaria, il 31.1 0.2011, con                                 probabile instabilità segmentale, tessuto cicatriziale al segmento                                        operato - Alterazioni degenerative del rachide lombare (discopatie L4/L5                                                ed L5/S1) - Disturbi statici del rachide (appiattimento della dorsale,                                                                    iperlordosi lombare, scoliosi sinistro convessa toracolombare) - Decondizionamento e sbilancio muscolare Gonalgie anteriori meccaniche bilaterali in - Esiti da artrotomia con fissazione della rotula destra per                                                                           lussazione recidivante, nel 1998 - Probabile gonartrosi Piedi cavi bilaterali con alluci valghi dalle due parti” (doc. AI 67-9). Dal punto di vista della capacità lavorativa residua, secondo il perito RI 1 nella sua ultima attività come fiorista è abile al lavoro sull'arco di una giornata lavorativa normale di 8-9 ore, ma con una diminuzione del rendimento del 70%, a partire dal 18 luglio 2012. Nelle mansioni di “ call-center ” , l'assicurata è ritenuta abile al lavoro sull'arco di una giornata lavorativa normale di 8-9 ore, ma con una diminuzione del rendimento del 50% , a decorrere dal 18 luglio 2012. Infine, in un’attività adeguata il Dr. __________ ha ritenuto l’insorgente abile al lavoro sull'arco di una giornata lavorativa normale di 8-9 ore, ma con una diminuzione del rendimento del 10% a distanza di un mese dalla fine del trattamento con radiofrequenza pulsata al rachide lombare eseguito il 18.6.2012, quindi a decorrere dal 18 luglio 2012 (doc. AI 67-9/10). Nel rapporto finale del 16 maggio 2013 il medico del Servizio Medico Regionale (SMR), Dr. __________, ha ripreso la diagnosi e le percentuali d’inabilità lavorativa indicate dal perito (doc. AI 68-1). Alla perizia del Dr. __________, ben motivata, che non evidenzia contraddizioni e non si può affermare essere fondata su accertamenti di fatto errati, può senz’altro essere attribuita forza probatoria piena conformemente ai succitati criteri stabiliti dalla giurisprudenza (consid. 2.3.). Contrariamente a quanto sostiene il ricorrente (cfr. doc. I, pag. 4), nella perizia in questione il Dr. __________ si è chinato sulla questione della capacità lavorativa residua sia nella precedente attività di venditrice-fiorista, sia in quella di operatrice “ call-center ” (attività per la quale ha svolto un corso, poi interrotto, nell’ambito delle misure reintegrative, cfr. doc. AI 56-1, 57-1) che infine in attività adeguate. Il perito ha quindi proceduto all’esame della funzionalità fisica dell’assicurata nelle seguenti attività: A. Sollevamento e/o trasporto di carichi. B. Manipolazione di oggetti, attrezzi, pulsantiere. C. Posizione di lavoro o Dinamiche particolari. D. Mantenere posizioni statiche. E. Spostarsi / camminare (doc. AI 67-11). Per quanto riguarda la critica, secondo cui il perito non ha fornito indicazioni su quali attività siano ancora esigibili da RI 1 (cfr. doc. I, pag. 5), va precisato che è compito del consulente professionale, avuto riguardo alle indicazioni sanitarie, di valutare quali attività professionali siano concretamente ipotizzabili (STF del 31 marzo 2008 nella causa P., 9C_13/2007; Meyer-Blaser, op. cit., pag. 228, Omlin, Die Invalidität in der obligatorischen Unfallversicherung, Friborgo 1995, pag. 201). Non permette una diversa valutazione della fattispecie il referto del 28 agosto 2013 del Dr. __________, spec. FMH in medicina interna generale, e dunque non specialista nella materia che qui ci occupa, il quale ha confermato le diagnosi del Dr. __________ ma ha espresso una valutazione divergente in merito all’incapacità lavorativa residua (100% nell’ultima attività e 50% in ogni altra). Il referto del Dr. __________ è stato valutato dal medico del SMR, Dr. __________, il quale nelle annotazioni del 17 settembre 2013 ha precisato che le differenze di valutazione riscontrate sono riconducibili a una diversa interpretazione della misura della capacità lavorativa espressa dal medico curante rispetto al perito (doc. AI 86-1). Giova qui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 Anche il referto del 10 dicembre 2013 del Dr. __________ della __________ Klinik di __________ non consente di inficiare le conclusioni del Dr. __________. Il medico della __________ Klinik infatti ha posto una diagnosi in sostanza sovrapponibile a quella del perito, segnalando un’assenza di progressione delle alterazioni degenerative in L4/4, L5/S1: “ Auch im Vergleich zu dieser Untersuchung zeigt sich keine Progredienz der degenerativen Veränderungen auf Höhe L4/4, L5/S1 ” (doc. B).  Egli poi non ha espresso alcuna valutazione sulla capacità lavorativa residua della paziente (doc. B). Nelle annotazioni dell’11 febbraio 2014 il Dr. __________ del SMR, esprimendosi sul referto della __________ Klinik, ha indicato un’assenza di sostanziale modifica del quadro clinico e radiologico (doc. XIV1). In conclusione, rispecchiando la perizia del Dr. __________ i criteri di affidabilità e completezza richiesti dalla giurisprudenza (cfr. consid. 2.3.), alla stessa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l’assicurata è abile al lavoro al 70% nella precedente attività di fiorista-venditrice, al 50% quale operatrice di “ call-center ” e al 90% in attività adeguate dal 18 luglio 2012. Per quanto riguarda le attività esigibili dall’assicurata, la decisione impugnata ha rimandato alle attività semplici e ripetitive della categoria 4 TA1 (doc. AI 87-1). L’insorgente ha criticato il provvedimento dell’amministrazione, in quanto non sarebbe stato interpellato alcun consulente professionale “ al fine di valutare quali attività professionali siano concretamente ipotizzabili ” (doc. I, pag. 5). Il TCA non condivide le critiche del patrocinatore della ricorrente. Infatti, innanzitutto l’Ufficio AI – in sede di risposta – ha indicato le valutazioni svolte dal Servizio intergrazione professionale (SIP), ovvero in data 29 dicembre 2011, 25 gennaio 2012 e 14 aprile 2012 e 17 ottobre 2013 (doc. V). Inoltre è noto che specialmente nell’ambito industriale, ma anche nel settore delle prestazioni di servizio, vi sono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È poi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DTF 119 V 347; VSI 1998 p. 296 consid. 3b; STFA del 25 febbraio 2003, U 329/01, consid. 4.7). Il Tribunale federale ha nuovamente avuto occasione di richiamare la sua giurisprudenza nella STF 8C_399/2007 del 23 aprile 2008, con la quale ha confermato la STCA 35.2007.42 del 21 giugno 2007, osservando: " 8.2 Come rettamente rilevato dal Presidente del Tribunale cantonale, tuttavia, la questione se la capacità lavorativa in posizione prevalentemente eretta risulta effettivamente ridotta non va risolta in questa sede. In effetti in considerazione dell'ampio ventaglio di attività semplici e ripetitive contemplate dai settori della produzione e dei servizi (cfr. ISS, livello di esigenze 4, tabella TA1) - un numero significativo di queste attività sono infatti di natura leggera, permettono di alternare la posizione e sono pertanto adatte al danno alla salute presentato dall'assicurato (v. per analogia la sentenza del Tribunale federale delle assicurazioni I 324/00 del 5 giugno 2001, consid. 2b) - la Corte ha già ripetutamente statuito, in casi con limitazioni funzionali analoghe, che esiste un mercato del lavoro sufficiente in cui realizzare la propria capacità lavorativa residua (consid. 2b non pubblicato della sentenza DTF 119 V 347; 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 Il Tribunale federale ha ribadito la propria giurisprudenza in una STF 9C_721/2012 del 24 ottobre 2012, nella quale, confermando la sentenza 32.2012.41 del 24 luglio 2012 di questa Corte, ha ritenuto esigibili da parte dell’assicurata le attività leggere e prevalentemente sedentarie considerate dall’amministrazione ( quali, ad esempio, quella di impiegata in un call center o quella di operaia generica, ad esempio presso una ditta farmaceutica), sottolineando che “ le professioni (leggere e ripetitive, poco qualificate) indicate sono esercitabili senza necessariamente mettere in atto particolari misure di reintegrazione professionale (cfr. per analogia sentenze 9C_673/2009 del 14 aprile 2010 consid. 6.2, 9C_753/2008 del 26 ottobre 2009 consid. 3.5 e U 463/00 del 28 ottobre 2003 consid. 3.3)”. In un’altra sentenza 8C_563/2012 del 23 agosto 2012, confermando la pronuncia di questo Tribunale 35.2012.17 del 18 giugno 2012, l’Alta Corte ha ribadito che, nel caso di un’assicurata, affetta da disturbi a livello del rachide lombo-sacrale e ritenuta, dal profilo medico, ancora abile al lavoro al 100% in attività adeguate, esistesse un mercato del lavoro sufficientemente ampio in cui realizzare la sua capacità lavorativa residua, esercitando attività leggere, con possibilità di alternare la postura. 2.5.   Occorre ora esaminare le conseguenze del danno alla salute subìto dalla ricorrente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2011. 2.5.1.   Per quel che concerne il reddito da valido , l’UAI ha quantificato il reddito che l’assicurata avrebbe potuto percepire da sana nel 2011, in fr. 45'600.-- in base al questionario del datore di lavoro del 20 dicembre 2012 (doc. AI 20-1). Questo importo non è stato contestato dalla ricorrente (cfr. doc.I, XII) e può essere ammesso dal TCA. 2.5.2.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Utilizzando i dati forniti dalla succitata tabella TA1 elaborata dall'Ufficio federale di statistica, la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4'225.--. Riportando questo dato su 41.7 ore ( cfr. tabella B 9.2, pubblicata in La Vie économique, 6-2014, p. 84 ), esso ammonta a fr. 4'404.55.-- mensili oppure a fr. 52'854.75 per l'intero anno (fr. 4'404.55.--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2011 (cfr. tab. B 10.3, pubblicata in La Vie économique, 6-2014, p. 85), un reddito mensile di fr. 4'447.25 oppure di fr. 53'366.95 per l'intero anno (fr. 4'447.25 x 12). Nella decisione impugnata l’Ufficio AI non ha applicato il gap salariale per due motivi: avendo l’assicurata lavorato per più di 5 anni presso lo stesso datore di lavoro (__________, in precedenza __________) ella si sarebbe accontentata di un salario modesto. In secondo luogo l’assicurata non ha svolto ricerche di lavoro per migliorare la propria situazione finanziaria (cfr. doc. AI 87-3). La mancata applicazione del gap salariale può qui rimanere indecisa. Come vedremo, infatti, anche applicando il gap salariale la soluzione finale non cambia (cfr. doc. 2.7.). L’assicurata, quale fiorista-venditrice, avrebbe guadagnato nel 2011 fr. 45'600.-- / anno per un’occupazione a tempo pieno (cfr. consid. 2.5.1.). Tale reddito si situa, per ragioni estranee all’invalidità, sotto la media dei salari svizzeri per un’attività equivalente (cioè fr. 52'596.60, cfr. Tabella TA1 p.to 47 “ Commercio al dettaglio” , livello di qualifica 4, fr. 4’164.-- X 12 mesi = 49’968.-- riportato su 41.7 = 52'091.64 e aggiornato al 2011). Se si riduce il reddito statistico da invalido, in applicazione della giurisprudenza di cui alla 8C_44/2009 del 3 giugno 2009, della percentuale dell’8,3% (parte percentuale eccedente la soglia determinante del 5%) si ottiene un importo di fr. 48'937.49. Ritenuto che, come visto in precedenza da un punto di vista medico, l’assicurata può esercitare un’attività adeguata alle sue condizioni di salute a tempo pieno con una diminuzione del rendimento del 10%  il reddito statistico va ridotto del 10% e ammonta a fr. 48'030.25 ( fr. 53'366.95 ridotti del 10% ), senza gap salariale, mentre ammonta a fr. 44'043.75 ( fr. 48'937.49 ridotti del 10% ), con il gap salariale. 2.6.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2.7.   In concreto, nella decisione impugnata, l’amministrazione ha applicato una riduzione complessiva del 4% per “ attività leggera ” (cfr. doc. AI 70-2, 87-3), mentre la ricorrente ha postulato l’applicazione del 14% (cfr. doc. I, pag. 6).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alla luce di quanto stabilito dal Tribunale federale nella sentenza del 26 agosto 2013 (cfr. consid. 2.6.), il TCA non può quindi condividere la scelta dell’Ufficio AI di applicare una riduzione del 4%, ma ritiene corretta una riduzione del 5%. Procedendo quindi al raffronto dei redditi, partendo da un salario da invalido di fr . 48'030.25 e ammettendo la riduzione del 5%, il reddito ipotetico dell’insorgente ammonta, quindi, a fr. 45'628.75 confrontando ora questo dato con l’ammontare del reddito da valido nel medesimo anno di fr. 45'600.-- (consid. 2.5.1.) non emerge alcun grado d’invalidità. A titolo abbondanziale va rilevato che anche applicando la riduzione dal reddito da invalido postulata dal ricorrente (14%) e il gap salariale, la soluzione finale non cambia. Partendo da un salario da invalido di fr . 44'043.75 e ammettendo la riduzione del 14%, il reddito ipotetico dell’insorgente ammonta, quindi, a fr. 37'877.60 confrontando ora questo dato con l’ammontare del reddito da valido nel medesimo anno di fr. 45'600.-- (consid. 2.5.1.) emerge un tasso d’invalidità del 16,9% arrotondato al 17% secondo la giurisprudenza di cui alla DTF 130 V 121 consid. 3.2. = SVR 2004 UV Nr. 11 pag. 41), percentuale che non dà diritto comunque ad una rendita d’invalidità. Ne consegue che la decisione del 26 settembre 2013 con la quale l’UAI ha respinto la richiesta di prestazioni dell’assicurata deve essere confermata. 2.8.   L’assicurata nel proprio atto ricorsuale ha chiesto l’esecuzione di una perizia giudiziaria, subordinatamente ulteriori accertamenti medici e economici (doc. 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andrebbero poste a carico dell’assicurata, la quale ha tuttavia chiesto l'assistenza giudiziaria (cfr. doc. I, IX). Al riguardo il Consiglio federale nel Messaggio concernente la modifica della legge federale sull'assicurazione per l'invalidità (misure di semplificazione della procedura) del 24 maggio 2005 in FF 2005 pag. 2751 seg. si è così espresso: " (...) Quando sono adempite le condizioni del gratuito patrocinio, la procedura di ricorso in materia di AI continuerà ad essere gratuita (con riserva di una successiva restituzione) per gli assicurati interessati, come negli altri settori del diritto amministrativo. Si intende così garantire che saranno prese in considerazione le particolarità del singolo caso, in modo tale che anche le persone meno abbienti possano accedere ai tribunali. (...) Le stesse considerazioni valgono a proposito delle procedure di ricorso dinanzi al tribunale cantonale delle assicurazioni e, per le persone residenti all'estero, dinanzi alla Commissione di ricorso AVS/AI. In altri termini, quando non può essere concesso il gratuito patrocinio in seguito a circostanze particolari che riguardano il singolo caso, per le controversie concernenti prestazioni dell'AI i Cantoni devono stabilire limiti di spesa inferiori rispetto agli altri settori del diritto amministrativo. Al fine di tener conto della componente di politica sociale, fisseranno questi limiti non in funzione del valore litigioso, ma in funzione dell'onere effettivo. È stato fissato un limite di spesa (dai 200 ai 1000 franchi) equivalente a quello stabilito nella revisione totale dell'organizzazione giudiziaria. Si è così dato seguito al suggerimento espresso dalla maggioranza dei Cantoni nella procedura di consultazione. (...)" 2.10.   La ricorrente ha infine postulato di essere posta al beneficio dell’assistenza giudiziaria con gratuito patrocinio (doc. I, IX).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Dalle tavole processuali si evince che la ricorrente, divorziata, è al beneficio di prestazioni assistenziali (cfr. doc. IX). In tali circostanze l’indigenza deve essere ammessa. L’assicurata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la ricorrente è per il momento esonerata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