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32.2013.103 vom 22. April 2013</w:t>
      </w:r>
    </w:p>
    <w:p>
      <w:r>
        <w:t>TI Tribunale d'appello, 2013-04-22, IT</w:t>
      </w:r>
    </w:p>
    <w:p>
      <w:r>
        <w:rPr>
          <w:b/>
        </w:rPr>
        <w:t xml:space="preserve">Quelle: </w:t>
      </w:r>
      <w:r>
        <w:t>https://mcp.opencaselaw.ch/entscheid/ti_gerichte_32.2013.103</w:t>
      </w:r>
    </w:p>
    <w:p>
      <w:r>
        <w:t>FR: TI_GERICHTE 32.2013.103 du 22 avril 2013</w:t>
      </w:r>
    </w:p>
    <w:p>
      <w:r>
        <w:t>IT: TI_GERICHTE 32.2013.103 del 22 aprile 2013</w:t>
      </w:r>
    </w:p>
    <w:p>
      <w:pPr>
        <w:pStyle w:val="Heading2"/>
      </w:pPr>
      <w:r>
        <w:t>Regeste</w:t>
      </w:r>
    </w:p>
    <w:p>
      <w:r>
        <w:t>Rifiuto prestazioni dopo uno stralcio della procedura giudiziaria e rinvio per nuovi accertamenti medici. Conferma della perizia reumatologica. Valutazione economica (reintegrabilità, mercato equilibrato del lavoro e raffronto dei redditi)</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 Bundesgesetz über die Invalidenversicherung, in: Rechtsprechung des Bundesgerichts zum Sozialversiche-rungsrecht, 2010, ad art. 28a, pag. 348).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DTF 123 V 176, 122 V 161, 104 V 212; SVR 1998 IV Nr. 1 pag. 2; SZS 1988 pagg. 329 e 332; ZAK 1986 pag. 189; Locher, Grundriss des Sozialversicherungsrechts, Berna 2003, pag. 453).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Va poi ricordato che se vi sono dei rapporti medici contraddittori, il giudice non può evadere la procedura senza valutare l'intero materiale ed indicare i motivi per cui egli si fonda su un rapporto piuttosto che su un altro (STF 8C_535/ 2007 del 25 aprile 2008, STFA I 462/05 del 25 aprile 2007). 2.6.   Nell’evenienza concreta, richiamata la suesposta giurispru-denza in materia di valore probatorio di rapporti medici, questo Tribunale non intravede ragioni che gli impediscano di far proprie le conclusioni a cui è giunto il perito dr. __________, il quale ha compiutamente valutato le differenti affezioni di cui l’assicurata è portatrice, giungendo ad una conclusione logica e priva di contraddizioni secondo la quale – fatto salvo un periodo di inabilità totale al lavoro in qualsiasi attività dal 9 settembre 2010 al 31 marzo 2011 (intervento di conversione dell’endoprotesi in protesi totale dell’anca destra eseguito il 9 settembre 2010 dal dr. __________, primario della __________ dell’Ospedale __________ di __________) – dalla perizia del dr. __________ – dunque dal 21 settembre 2009 (cfr. doc. 5/1-20 dell’incarto cassa malati) e non, come erroneamente indicato dal dr. __________, dal 26 agosto 2009, data, questa, in cui è stato assegnato al dr. __________ l’incarico peritale – vi è un’incapacità lavorativa del 25% nell’attività abituale di assistente dentale e dello 0% in un’attività adeguata rispettosa dei limiti funzionali posti. In particolare, quanto all’asserita necessità di procedere anche ad un accertamento medico di natura ortopedica – nel ricorso l’insorgente fa valere che, come addotto nelle osservazioni del 17 aprile 2013, “(…) oltre alla refertazione medica reumatologica sarebbe verosimilmente stato utile esplorare anche la componente valetudinaria della paziente da un punto di vista ortopedico, di modo da rendere più completo il quadro clinico dell’assicurata e valutarne l’influenza sulla sua capacità lavorativa. (…)” (I, punto 19 del ricorso a pag. 8) – , a prescindere dal fatto che con la STCA del 13 novembre 2012 questo Tribunale ha omologato la transazione intervenuta tra le parti in base alla quale gli atti andavano rinviati all’ammini-strazione affinché procedesse ad un accertamento di natura medico reumatologica (cfr. consid. 1.1), a ragione l’Ufficio AI nella risposta di causa ha rilevato che “(…) il reumatologo dispone per formazione ed esperienza lavorativa dei mezzi per valutare in modo completo le affezioni all’apparato muscolo scheletrico (STF 9C_547 del 26 gennaio 2010 consid. 4.1). (…)” (IV). Del resto anche nella STF 9C_781/2011 del 14 maggio 2012 – concernente il caso di un’assicurata, afflitta da dolori al piede e alla colonna vertebrale, la quale, nell’ambito di una perizia pluridisciplinare, era stata valutata, dal profilo somatico, da un neurologo e da un reumatologo, ma non da un ortopedico – l’Alta Corte ha sottolineato la correttezza della valutazione peritale eseguita da un neurologo e da un reumatologo, non ritenendo indispensabile, come invece richiesto dall’assicurata, dovere fare capo anche al parere specialistico di un chirurgo ortopedico (in argomento vedi anche la STCA 31.2012.105 dell’11 ottobre 2012). La dettagliata ed approfondita valutazione del dr. __________ ( che disponeva dell’incarto completo dell’assicurata e, quindi, anche dei rapporti 27 settembre 2011 e 8 ottobre 2012 del dr. __________ [doc. AI 130/47-48 e 140/3-4 = doc. A/2]; che sono quindi stati considerati dal perito ) non é stata del resto smentita da altri certificati da parte di medici specialisti attestanti nuove patologie ed è stata confermata anche dal dr. __________ sia nel rapporto finale 13 febbraio 2013 che nelle annotazioni 28 febbraio e 20 aprile 2013 (doc. AI 153/1-4, 155/1 e 161/1). In particolare, viste le limitazioni funzionali poste dal dr. __________, non è possibile concludere, come sembrerebbe pretendere l’insorgente (senza tuttavia in alcun modo provare e/o documentare), per l’impossibilità di svolgere un’attività adeguata a tempo pieno. Non può infatti essere seguita l’insor-gente laddove sostiene, in modo del tutto generico, che “(…) alla luce di queste limitazioni mal si comprende come possa l’assicurata essere totalmente abile al lavoro in un’attività adatta, che non viene peraltro identificata (…)” (I punto 22 pag. 12). Nemmeno è possibile concludere differentemente avuto riguardo all’ulteriore documentazione medica prodotta in sede di procedura ricorsuale. Il dr__________, primario ad interim della __________ dell’Ospedale __________ di __________ ( rispondendo a delle precise domande postegli dall’avv. RA 1; doc. B/2 ) , nella valutazione del 18 luglio 2013, non si è confrontato con la perizia del dr. __________ limitandosi ad esprimere una diversa valutazione della capacità lavorativa (doc. B/1). Al riguardo, il dr. __________, nell’annotazione 5 agosto 2013, ha concluso che “(…) l’attuale certificazione priva di nuovi elementi clinici si limita ad attestare una differente capacità lavorativa rispetto alla valutazione del dr. __________. Non vi sono elementi che possono mettere in forse la valutazione peritale. L’attuale scritto privo di elementi clinici o critiche puntuali non va sottoposto al perito. (…)” (X/1). Anche il dr. __________, nel rapporto 4 settembre 2013 indirizzato al medico curante dr. __________, non si è confrontato puntualmente con le valutazioni del dr. __________ e, senza porre delle nuove diagnosi e/o provare un peggioramento, ha concluso per un’incapacità lavorativa del 50% in qualsiasi attività (doc. C/1). Va qui rilevato che lo stesso specialista, nella risposta dell’8 ottobre 2012 indirizzata all’avv. RA 1, aveva invece attestato che “(…) il grado di capacità lavorativa potrebbe aumentare rispetto al 50% sopra indicato [ndr.: si riferisce al grado di capacità lavorativa nell’attività abituale di assistente dentale] solo nella condizione in cui si limitino nella durata le attività in posizione seduta, eretta e camminando. (…)” (doc. A/2). Il dr. __________, invitato a prendere posizione sul rapporto 4 settembre 2013 del dr. __________ (XVII/1), nel complemento peritale 23 settembre 2013 si è così espresso: “(…) ho letto attentamente la lettera in questione del Prof. __________ [ndr. si riferisce al rapporto del 4 settembre 2013] che non contiene, per quanto riguarda le patologie, elementi oggettivi nuovi, non già noti al momento della valutazione peritale del 5.2.2013; la radiografia realizzata dallo specialista ha potuto confermare una stabilità del materiale protesico, non vi sono indizi per una recidiva tumorale; l’ortopedico parla di una buona funzionalità dell’anca destra (“die Hüftfunktion ist recht gut”), il femore prossimale viene descritto come addirittura parzialmente rigenerato (“das proximale Femur zeigt sogar eine gewisse ‘Neogenese’”). L’ortopedico curante non è d’accordo con la valutazione della capacità lavorativa nell’attività svolta come assistente dentale, rispettivamente in attività adatta allo stato di salute di questa paziente 30-enne, questo senza fornire dettagli sulla capacità funzionale e di carico residua. Da parte mia, in assenza di novità rispetto alla valutazione peritale del 5.2.2013, posso soltanto riconfermare la mia presa di posizione per quanto riguarda la capacità lavorativa in attività solita rispettivamente adatta allo stato di salute formulata nel rapporto peritale in questione che si basa sulla capacità funzionale residua annessa al documento peritale. (…)” (XVII/2). Il dr. __________, nello scritto 16 ottobre 2013 indirizzato all’avv. RA 1 (doc. D), ancora una volta senza documentare e tantomeno fornire dettagli sulla capacità funzionale e di carico residua, ha confermato in modo generico di non essere d’accordo con la valutazione del dr. __________, proponendo l’allestimento di una perizia pluridisciplinare. Al riguardo, il dr. __________, nell’annotazione del 22 ottobre 2013, ha concluso che “(…) l’attuale scritto del dr. __________ [ndr.: si riferisce allo scritto del 16 ottobre 2013 indirizzato all’avv. RA 1] non contiene nuovi elementi. Egli conferma la sua valutazione d’una esigibilità del 50%. (…)” (XXIII/1). Va qui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9C_697/2013 del 15 novembre 2013, consid. 3.2 e 9C_9/2010 del 29 settembre 2010, consid. 3.4 entrambe con i rinvii giurisprudenziali ivi menzionati). In conclusione, rispecchiando la perizia reumatologica 5 febbraio 2013 del dr. __________ (doc. AI 152/1-10) tutti i criteri di affidabilità e completezza richiesti dalla giurisprudenza (cfr. consid. 2.5) e non essendo provato un peggioramento dopo il mese di febbraio 2013 e prima del 22 aprile 2013, a ragione l’Ufficio AI ha confermato un’incapacità lavorativa totale in qualsiasi attività dal</w:t>
      </w:r>
    </w:p>
    <w:p>
      <w:r>
        <w:rPr>
          <w:b/>
        </w:rPr>
        <w:t>E. 9</w:t>
      </w:r>
    </w:p>
    <w:p>
      <w:r>
        <w:t>settembre 2010 al 31 marzo 2011 e, dal 1. aprile 2011, una capacità lavorativa del 75% nell’attività abituale di assistente dentale e del 100% in un’attività adeguata rispettosa dei limiti funzionali posti. In questo senso, la domanda di una perizia giudiziaria (cfr. XXI)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2.7.   Quanto alla reintegrabilità sul mercato del lavoro il consulente in integrazione, nella valutazione dell’8 marzo 2012 (doc. AI 111/1-2), ritenuta una capacità lavorativa totale in un’attività adeguata, ha concluso che “(…) l’assicurata ha una percentuale lavorativa del 50% in attività abituale mentre in attività adeguata tale percentuale è pari al 100%. Con il diploma a disposizione esiste la possibilità di svolgere professioni specialistiche solo quale assistente dentale. Per il resto si fa riferimento alla categoria 4.2, ossia professioni semplici e ripetitive. (…)” (doc. AI 111/1). L’insorgente non ha messo in dubbio questa valutazione evidenziando che “(…) alla luce di queste limitazioni [ndr.: si riferisce alla capacità funzionale e di carico residue descritta dal dr. __________ nel suo allegato] mal si comprende come possa l’assicurata essere totalmente abile al lavoro in un’attività adatta, che non viene peraltro identificata; per cui non è dato a sapere se per svolgerla l’assicurata necessiti di un’adeguata riformazione professionale. (…)” (I punto 22 pag. 12). La questione relativa alle attività professionali concretamente realizzabili è di competenza del consulente in integrazione professionale (STF 9C_13/2007 del 31 marzo 2008, consid. 3;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Alla luce della suenunciata giurisprudenza questo Tribunale non ha, nel caso concreto, motivo per mettere in dubbio le conclusioni del consulente che non sono, del resto, nemmeno state puntualmente contestate. È inoltre da ritenere che l’assicurata, tenuto conto anche del-l’obbligo di diminuire il danno (DTF 123 V 233 consid. 3c, 117 V 278 consid. 2b e 400 consid. 4b con i riferimenti ivi citati) , possa ragionevolmente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Ad esempio va menzionato il settore dell’industria, in cui possono essere eseguite attività di controllo e di sorveglianza, fisicamente assai leggere, oppure quello dei servizi dove vi sono mansioni che non presuppongono particolari attitudini intellettuali e che non comportano aggravi fisici e possono essere svolte prevalentemente in posizione seduta (per es. attività d’incasso, d’assemblaggio, di confezione prodotti, di controllo ecc.) con la possibilità anche di variare frequentemente la postura. Va detto pure che le limitazioni indicate dal dr. __________ nell’allegato esame della funzionalità fisica (cfr. doc. AI 152/10) non ostacolano lo svolgimento di tutte le succitate attività che non necessitano una particolare qualifica. Va pertanto ammesso che sul mercato generale del lavoro esistono delle attività non qualificate che l’interessata, malgrado il danno alla salute e l’assenza di preparazione professionale specifica, sarebbe in grado di esercitare al 100%. 2.8.   Per quel che concerne la valutazione economica – ricordato che secondo la giurisprudenza per il raffronto dei redditi fa stato il momento dell’inizio dell’eventuale diritto alla rendita (DTF 129 V 222; cfr., pure, STFA I 600/01 del 26 giugno 2003, consid. 3.1) per cui nel caso concreto sono determinanti i dati del 2011 visto che a quell’epoca era trascorso l’anno di carenza (art. 28 cpv. 1 lett. b LAI) e ritenuto che al più presto l’eventuale diritto alla rendita poteva nascere nel mese di novembre 2011 (art. 29 cpv. 1 LAI) – va rilevato quanto segue. 2.8.1.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In concreto, nel 2011 – come indicato dal datore di lavoro e non contestato dall’assicurata (cfr. doc. AI 104/1) – , il reddito da valido ammonta a fr. 62'400.--. 2.8.2.   Per quel che concerne il reddito da invalido, secondo la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137 V 73 consid. 5.2;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Nel 2011, utilizzando i dati forniti dalla tabella TA1 elaborata dall'Ufficio federale di statistica, la ricorrente, svolgendo un’at-tività semplice e ripetitiva, livello di qualifica 4, avrebbe potuto realizzare un reddito annuo pari a fr. 53'383.29 ( fr. 4'225.-- [ultimo dato disponibile valido per il 2010] aggiornati al 2011 e riportati su 41.7 ore [ cfr. tabella B 10.2 e B 9.2, pubblicata in La Vie économique, 11-2013, pag. 86-87 ] moltiplicati per 12 [ ritenuto che la quota di tredicesima è già compresa, cfr. STFA U 274/98 del 18 febbraio 1999, consid. 3a] ). Stante una capacità lavorativa del 100% in un’attività adeguata e applicata la riduzione del 10% – in correzione della riduzione del 9% di cui alla tabella con valutazione del 10 febbraio 2012 (doc. AI 105/1-3) e conformemente alla STCA 32.2012.36 del 31 gennaio 2013 confermata dal TF nella STF 9C_179/2013 del 26 agosto 2013 ; in concreto, nella fattispecie, vi sono validi motivi per sostituire l’apprezzamento degli organi dell’assicurazione (cfr. DTF 137 V 73 consid. 5.2 e 126 V 80 consid. 5b/cc, a contrario) – il reddito ipotetico da invalido ammonta a fr. 48'044.96 ( fr. 53'383.29 ridotti del 10% = fr. 48'044.96 ). 2.8.3.   Accertati quindi un reddito da valido di fr. 62'400.-- (cfr. consid. 2.8.1) e da invalido di fr. 48'044.96 (cfr. consid. 2.8.2), si ottiene un grado d’invalidità del 23% ([62'400.00 - 48'044.96 ] x 100 : 62'400.00 = 23%) che non dà diritto ad alcuna rendita d’invalidità (cfr. consid. 2.3). A titolo abbondanziale va rilevato che anche se si applicasse la riduzione del 15% – deduzione questa che si otterrebbe se si volesse partire dalla deduzione del 13% indicata senza alcun riferimento dall’Ufficio AI nella decisione impugnata, correggendola ai sensi della succitata giurisprudenza – alla ricorrente non andrebbe riconosciuto comunque il diritto ad una rendita. Infatti, in detta ipotesi, il reddito da invalido ammonterebbe a fr. 45'375.79 ( fr. 53'383.29 ridotti del 15% = fr. 45'375.79 ) e il grado d’invalidità sarebbe del 27% ([62'400.00 - 45'375.79 ] x 100 : 62'400.00 = 27.28% arrotondato al 27% secondo la giurisprudenza di cui alla DTF 130 V 121 consid. 3.2). Allo stesso risultato, grado d’invalidità non pensionabile, si giunge anche se si volesse procedere ad un raffronto percentuale dei redditi (DTF 114 V 313 consid. 3a e riferimenti; STF 9C_294/2008 del 19 marzo 2009; 8C_558/2008 del 17 marzo 2009; 9C_776/2007 del 14 agosto 2008 e I 759/2005 del 21 agosto 2006; Omlin, Die Invalidität in der obligatorischen Unfallversicherung, tesi Friburgo 1995, pag. 154). In effetti, per la giurisprudenza se il danno alla salute non è tale – come in casu, in base alle risultanze peritali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In concreto, nella sua attività abituale di assistente dentale l’inabilità al lavoro è del 25%. Di conseguenza – confermata la valutazione medica stante la quale dopo un periodo di incapacità lavorativa totale in qualsiasi attività dal 9 settembre 2010 al 31 marzo 2011, dal 1. aprile 2011 vi é una capacità lavorativa del 75% nell’attività abituale di assistente dentale e del 100% in un’attività adeguata rispettosa dei limiti funzionali posti (cfr. consid. 2.6) – visto il grado d’invalidità non pensionabile è a ragione che l’Ufficio AI non ha riconosciuto il diritto ad una rendita. 2.9.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dell’art. 17 LAI è un assicurato che, a causa del tipo e della gravità del danno alla salute subìto, patirebbe senza una riformazione professionale, una perdita di guadagno pari almeno al 20% (DTF 124 V 110 consid. 2b, cfr. anche STCA del 31 ottobre 2011 [32.2011.96]). Inoltre con STF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Ne segue che a giusta ragione l’Ufficio AI ha negato il diritto a provvedimenti professionali visto che anche nella presente fattispecie l’insorgente gode di un ampio ventaglio di professioni possibili che non richiedono particolari misure di reintegrazione professionale. Inoltre, anche il consulente in integrazione nella valutazione dell’8 marzo 2012 (doc. AI 111/1-2) ha evidenziato che “(…) come già a suo tempo nel citato rapporto TISAF e da recente DDP, l’assicurata ha potenzialmente diritto ad una riqualifica professionale. Idealmente con l’assicurata si era immaginata la possibilità di svolgere un percorso di un anno come assistente in profilassi anche perché l’assicurata sarebbe stata intenzionata a lavorare in un ambito professionale simile a quello svolto finora e perché l’assicurata non voleva investire troppo tempo in una nuova formazione. Tuttavia, dopo che si stava per concretizzare tale possibilità, l’assicurata ha deciso di non aderire al progetto di provvedimento professionale preferendo proseguire con una percentuale del 50% in attività abituale (vedi documentazione recente agli atti). Per quanto riguarda il mio mandato, si giunge dunque al termine non esistendo attuali premesse atte a concretizzare il progetto inserito in DDP. All’assicurata vale la pena garantire la possibilità di ritornare sulla decisione qualora ella ne facesse espressa richiesta. (…)” (doc. AI 111/2). Circa la possibilità di rifiutare un provvedimento professionale nel caso di mancata disponibilità dell’interessato vedi anche la STF 9C_765/2013 del 21 gennaio 2014 consid. 3.4. 2.10.   In simili circostanze, visto tutto quanto precede, la decisione impugnata va dunque confermata e il ricorso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