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32.2012.70 vom 6. Januar 2012</w:t>
      </w:r>
    </w:p>
    <w:p>
      <w:r>
        <w:t>TI Tribunale d'appello, 2012-01-06, IT</w:t>
      </w:r>
    </w:p>
    <w:p>
      <w:r>
        <w:rPr>
          <w:b/>
        </w:rPr>
        <w:t xml:space="preserve">Quelle: </w:t>
      </w:r>
      <w:r>
        <w:t>https://mcp.opencaselaw.ch/entscheid/ti_gerichte_32.2012.70</w:t>
      </w:r>
    </w:p>
    <w:p>
      <w:r>
        <w:t>FR: TI_GERICHTE 32.2012.70 du 6 janvier 2012</w:t>
      </w:r>
    </w:p>
    <w:p>
      <w:r>
        <w:t>IT: TI_GERICHTE 32.2012.70 del 6 gennaio 2012</w:t>
      </w:r>
    </w:p>
    <w:p>
      <w:pPr>
        <w:pStyle w:val="Heading2"/>
      </w:pPr>
      <w:r>
        <w:t>Regeste</w:t>
      </w:r>
    </w:p>
    <w:p>
      <w:r>
        <w:t>Rinvio atti all'Ufficio AI per una nuova valutazione psichiatrica volta a chiarire le divergenze diagnostiche e relative alla capacità lavorativa residua</w:t>
      </w:r>
    </w:p>
    <w:p>
      <w:pPr>
        <w:pStyle w:val="Heading2"/>
      </w:pPr>
      <w:r>
        <w:t>Erwägungen</w:t>
      </w:r>
    </w:p>
    <w:p>
      <w:r>
        <w:rPr>
          <w:b/>
        </w:rPr>
        <w:t>E. 29</w:t>
      </w:r>
    </w:p>
    <w:p>
      <w:r>
        <w:t>ottobre 2003, inc. 32.2002.154, STCA del 27 ottobre 2003, inc. 32.2003.15). Per quel che concerne invece il reddito da invalido,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2.5.   Il TFA ha già avuto modo di affermare l’ammissibilità di principio di un raffronto tra redditi da attività indipendente con redditi da dipendente (STFA I 543/03 del 27 agosto 2004). Tale modo di operare è segnatamente stato avallato nei casi in cui sono disponibili dati fiscali attendibili (cfr. sentenza citata). Inoltre alla luce del principio generale applicabile anche nel diritto delle assicurazioni sociali, per il quale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Ad esempio l’Alta Corte aveva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Nella STFA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Per altri casi in cui, invece del metodo straordinario, è stato applicato il normale confronto dei redditi utilizzando i dati statistici ed esigendo dall'assicurato il passaggio ad un'attività dipendente cfr. STF 9C_335/2007 e STF 9C_13/2007. 2.6.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2.7.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2.8.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2.9.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2.10. Nella decisione del 6 gennaio 2012 l’UAI ha riconosciuto all’assicurato una rendita intera d’invalidità limitatamente al periodo compreso tra il 1° ottobre 2010 e il 28 febbraio 2011 prendendo in considerazione in particolare il referto del Dr. __________ (doc. AI 68-1) e la perizia pluridisciplinare SAM del 23 settembre 2011 (doc. AI 90-1). Si tratta ora di stabilire se l’UAI ha correttamente o meno soppresso la rendita spettante a RI 1 a far tempo dal 1° marzo 2011. Con lo scopo di accertare in maniera approfondita lo stato di salute dell’assicurato, l’Ufficio AI ha affidato al SAM il mandato di esperire una perizia pluridisciplinare. In tale ambito i medici del SAM hanno valutato la patologia psichiatrica (Dr.ssa __________), quella reumatologica (Dr. __________) e quella ORL (Dr. __________). Il Dr. __________, spec. FMH in otorinolaringoiatria, nel rapporto del 22 luglio 2011 ha posto la seguente diagnosi e valutazione: " (…) Diagnosi: -   Sordità dell'orecchio di sinistra con stato dopo operazione radicale per colesteatoma. -   Ipoacusia percettiva prevalentemente ai toni bassi di tipo grave a destra. -   Tinnito cronico di grado III. (…) Valutazione: 1) Il paziente presenta un'importante perdita uditiva con una sordità funzionale nell'orecchio di sinistra. In questa situazione le sue capacità di comunicare sono notevolmente ridotte, una comprensione è possibile solo in ambienti tranquilli guardando in viso l'interlocutore. Durante il nostro esame è stato possibile comunicare con il paziente in questa maniera senza ausilio dell'apparecchio acustico, che viene portato molto raramente in quanto provoca maggior fastidio e vertigine. Se è appena presente un po' di rumore di fondo o l'interlocutore parla da una posizione diversa che quella frontale il paziente non capisce più bene, deve farsi ripetere le cose oppure non riesce del tutto a seguire un discorso. A quanto pare sono stati fatti diversi tentativi di regolare meglio l'apparecchio e di trovare un apparecchio acustico più idoneo senza esito. A livello teorico sarebbe possibile recuperare una migliore capacità uditiva con un impianto cocleare, considerando però il quadro generale e la situazione sociale del paziente (che tra l'altro viene seguito per un problema di alcoolismo dall'associazione Ingrado), questa possibilità non entra in considerazione (intervento impegnativo che richiede poi una lunga fase di adattamento con necessità di recarsi frequentemente in un centro oltre Gottardo). 2) Tinnito: questo disturbo non sembra essere il problema principale anche se naturalmente diventa molto fastidioso in momenti di maggior nervosismo o quando il paziente cerca di addormentarsi alla sera. In genere il paziente riesce a sopportarlo abbastanza bene durante il giorno. Incapacità lavorativa: Nell'attività precedentemente esercitata quale taxista il paziente è da ritenersi inabile al 100% a causa della gravità della situazione uditiva. Anche ipotizzando di poter migliorare la riabilitazione con una eventuale miglior sopportazione dell'apparecchio acustico o addirittura posizionamento di un impianto cocleare in futuro le cose non potrebbero migliorare in modo sufficiente per questo tipo di professione, che richiede di poter interagire con gli utenti che parlano di lato o da dietro. Sarebbe eventualmente ipotizzabile l'esercizio di una professione in ambiente silenzioso con scarsa necessità di comunicare oppure con un interlocutore posizionato di fronte. Anche un'attività di questo tipo non è facile da trovare per questo paziente che ha avuto una formazione iniziale quale meccanico d'auto e ha poi prevalentemente lavorato nel bar di famiglia. II quadro generale è poi aggravato dalla problematica psichiatrica per la quale viene pure seguito un trattamento." (doc. AI 90/22-24) La Dr.ssa __________, medico chirurgo – specialista in psichiatria, nella perizia del 15 maggio 2011, dopo aver riassunto l’anamnesi del paziente, i dati soggettivi, la farmaco terapia e lo status psichico, ha posto la seguente diagnosi e valutazione: " (…) 1    DIAGNOSI: con ripercussioni sulla CL - Uso improprio di alcolici in remissione (su programma di monitoraggio presso Ingrado) (ICD 10, F 10.9) -     Distimia (ICD 10, F 34.1) -     Ansia NAS (ICD 10, F 41.9) Senza ripercussioni sulla CL Nessuna 2    Valutazione della capacità lavorativa (in percentuale) dell'attività da ultimo svolta dall'assicurato/a, se possibile specificando se dovuta a limitazione funzionale o di rendimento riferito a un'attività al 100% Si ritiene di fatto difficile non considerarlo inabile per l'attività di taxista ma su un piano non di pertinenza psichiatrica ma come oggettiva limitazione (a meno che non gli si fornisca un traduttore digitale che gli trasmetta il verbale in forma scritta). Dal punto di vista invece strettamente psichiatrico le diagnosi poste possono a mio avviso al più produrre una IL del 30-35% e non oltre e limitatamente alla presenza di ansia che può ridurre la sua efficienza e capacità di organizzare il lavoro e sul disturbo distimico che può appesantirlo, rallentarlo, affaticarlo. 3    Da quando esiste una riduzione della capacità lavorativa prolungata dal vostro punto di vista specialistico e come si è evoluta fino al momento dell'attuale perizia? Dal 2010 oggettivato da relazione medica, prima fin dal 2009 come retrospettivamente ricostruito con l'A. 4    Riguardo le diagnosi da Lei esposte qual è secondo Lei la prognosi a medio-lungo termine? Incerta, passibile di miglioramento. 5    Come si giustifica la diminuzione della Capacità Lavorativa? Quali sono le limitazioni funzionali constatate? Appare appesantito dal quadro di deflessione umorale per quanto lieve come tipico della distimia; si mostra ansioso, teso, emotivamente labile; le tensioni per la perdita di udito lo rendono meno adattabile e più in allerta. 6    Vi sono possibilità terapeutiche per migliorare la capacità lavorativa dell'assicurato? Che effetti avrebbero questi provvedimenti sulla capacità lavorativa? Nel cosa la terapia può essere ottimizzata: ritengo che possano essere rintracciati strumenti anche e soprattutto tecnologici, atti a migliorare le sue performance anche in presenza di deficit uditivi gravi. Di questo si potrà parlare con il referente per l'aspetto specifico e seguire i suoi suggerimenti. 7    Ritiene possibile effettuare provvedimenti di integrazione professionale e/o riformazione professionale presso questo assicurato? Descrivere le residue risorse di cui l'assicurato/a ancora dispone Non esistono elementi di pertinenza psichiatrica che li controindichino in assoluto ma non mi pare siano necessari a meno che non si protenda per una riqualifica in ambito in cui la sordità non sia così disfunzionale (attività in solitudine come controllo monitor, registrazione di dati, magazziniere) 8    Ritiene che l'assicurato sia capace di svolgere altre attività? Se sì, descrivere i limiti funzionali e la capacità lavorativa in percentuale in tale attività adatta (ore/die o riduzione del rendimento) specificando da quando Ritengo che il soggetto sia in grado di svolgere tutte le altre attività teoricamente esigibili, compatibili con livello culturale, età, quadro fisico e attitudini personali nella stessa percentuale già detta (abile al 70/65 %) da subito, per quanto attiene gli aspetti di mia pertinenza. 9    In che percentuale l'assicurata/o può svolgere l'attività di casalinga/o (motivare la percentuale) Al 80 % poiché è uno spazio noto e familiare che riduce la quota di ansia. 8    L'ambiente di lavoro può sopportare i disturbi psichici dell'assicurato/a Sì. Ringraziando per l'attenzione prestata, resto disponibile per eventuali approfondimenti chiarimenti." (doc. AI 90/28-30) Il Dr. __________, spec. FMH in medicina interna e malattie reumatiche, nella perizia del 23 maggio 2011, dopo aver riassunto l’anamnesi del paziente, i dati soggettivi e quelli oggettivi, ha posto la seguente diagnosi e valutazione: " (…) 4.      Diagnosi 4.1.   Diagnosi reumatologiche con ripercussione sulla capacità lavorativa: 1. Esito da lussazione acromio-clavicolare di IIl° secondo Tossy a sx il 13.09.2010 con: -   Trattamento conservativo. -   Residui dolori al carico e notevole instabilità articolare. 2. Sindrome lombovertebrale cronico-recidivante su: -   Marcata rotoscoliosi toracolombare destroconvessa. -   Spondilartrosi tra L4 ed S1. -   Attualmente poco sintomatico. 3. Incipiente artrosi femoro-patellare bilat. 4.2.   Diagnosi non reumatologiche con ripercussione sulla capacità lavorativa: 1. Importante ipoacusia con sordità completa a sx e subtotale a dx. 4.3.   Diagnosi senza ripercussione sulla capacità lavorativa: 1. Ipertensione arteriosa trattata. 2. Ipertrofia prostatica benigna. 5.      Valutazione e prognosi: (…) Clinicamente ho trovato un assicurato in buone condizioni generali, ben collaborante, apparentemente non depresso e senza particolari segni di sovraccarico funzionale. La colonna vertebrale presenta un'evidente rotoscoliosi toracolombare destroconvessa, con dei movimenti parzialmente limitati ma non particolarmente dolenti; si evoca unicamente una leggera dolenzia alla palpazione del passaggio lombosacrale. Nessun segno per una radicolopatia. La spalla sx presenta un'evidente lussazione acromio-clavicolare con notevole sporgenza del III° laterale della clavicola e con segno del tasto di pianoforte positivo; si evocano comunque solo leggeri dolori alla palpazione dell'articolazione acromio-clavicolare, non vi sono segni per un conflitto sottoacromiale. Leggeri segni di artrosi femoro-patellare alle due ginocchia. Per il resto non ho rilevato ulteriori patologie significative al sistema muscolo-scheletrico. Le radiografie della colonna lombare da me ora eseguite (a quanto pare non ne aveva più eseguite già da molti anni) hanno confermato la già descritta rotoscoliosi toracolombare con delle alterazioni spondilartrosiche soprattutto tra L4 ed S1 e con una leggera spondilosi anteriore tra L2-L3 ed L3-L4. Le descritte patologie osteo-articolari alla spalla sx, alla colonna vertebrale ed alle ginocchia non hanno a mio parere alcuna influenza sullo svolgimento del suo lavoro di tassametrista, per il quale egli è tuttora da considerare 100% abile al lavoro, almeno sotto l'aspetto chirurgico-ortopedico. Desidero nuovamente sottolineare come egli abbia dovuto cessare l'attività principalmente a causa dei problemi uditivi. Evidentemente le descritte patologie muscolo-scheletriche potrebbero essere ad origine di una maggiore limitazione della capacità lavorativa per lavori fisicamente pesanti, nei quali si richiedano sforzi maggiori per la colonna vertebrale (sollevamento ripetuto di pesi superiori ai 15kg, movimenti ripetuti di flessione ed estensione del tronco, lavori prolungati in posizioni inergonomiche) oppure lavori con un'importante sollecitazione per le spalle, in modo particolare con il sollevamento di pesi al di sopra dell'orizzontale o lavori prolungati con le braccia sollevate. Per questi lavori egli è da considerare almeno 50% inabile (ad esempio per lavori in cantiere oppure quale giardiniere o simili). Quale meccanico d'auto, professione appresa negli anni '70 ma poi praticamente mai esercitata, egli presenta al momento un'incapacità lavorativa valutabile, attorno al 30%. Per lo svolgimento di un'attività d'ufficio di tipo amministrativo egli non presenta invece alcuna limitazione della capacità lavorativa. Sotto l'aspetto ortopedico-reumatologico non vi sono patologie che potrebbero impedire provvedimenti di riqualifica professionale. A questo proposito desidero però nuovamente sottolineare l'importante ipoacusia, che evidentemente non gli permetterà di seguire dei corsi di riqualifica convenzionali. Attività a contatto con persone/clientela non entrano verosimilmente in considerazione proprio a causa dei problemi uditivi. Non è perciò pensabile che egli ricominci a lavorare neppure quale gerente di un bar o di un distributore di benzina, attività a suo tempo svolte. La prognosi valetudinaria del signor Bonacina non dipende perciò al momento dalle descritte patologie ortopedico-reumatologiche, per le quali egli potrebbe ricominciare a svolgere la sua professione di tassametrista senza particolari limitazioni. Sotto l'aspetto terapeutico ritengo che egli potrebbe trarre beneficio dallo svolgimento regolare di un corretto programma di ginnastica medica, mirato sia alle problematiche dorsali, sia ai residui disturbi alla spalla sx. In considerazione della residua instabilità dell'articolazione acromio­clavicolare bisognerebbe a mio parere pure rivalutare l'opportunità di eseguire una stabilizzazione chirurgica. Queste misure non avranno però un importante influsso sulla sua capacità lavorativa. Sperando di essere stato sufficientemente esaustivo nella 'mia valutazione per permetterLe di prendere la corretta decisione, colgo l'occasione per porgerLe i miei più cordiali e collegiali saluti." (doc. AI 90/33-34) Globalmente, quindi, nel rapporto peritale del 23 settembre 2011 i medici del SAM, sulla base delle risultanze dei singoli consulti e delle visite ambulatoriali del ricorrente presso il citato centro d’accertamento, hanno posto la diagnosi con influenza sulla capacità lavorativa di “ Sordità dell'orecchio di sin in stato dopo operazione radicale per colesteatoma, - ipoacusia percettiva prevalentemente ai toni bassi di tipo grave a ds.; - tinnito cronico di grado III. Uso improprio di alcolici in remissione (su programma di monitoraggio presso Ingrado).Distimia. Ansia NAS. Esito da lussazione acromioclavicolare di III° secondo Tossy a sin. il 13.9.2010 con: - trattamento conservativo, residui di dolori al carico e notevole instabilità articolare. Sindrome lombovertebrale cronica recidivante su: - marcata rotoscoliosi toracolombare destro-convessa, spondilartrosi tra L4-­S1. Incipiente artrosi femoropateflare bilaterale ” (doc. AI 90-16). Quale diagnosi senza influenza sulla capacità lavorativa è stata invece posta quella di “ Ipertensione arteriosa. Ipertrofia prostatica benigna. Stato dopo emorroidectomia. Stato da gastrite " (doc. AI 90-16) Quanto alla capacità lavorativa medico – teorica globale, i medici del SAM hanno ritenuto l’assicurato inabile al lavoro nella misura del 100% nell’attività da ultimo svolta di tassista, mentre in un’attività lavorativa adeguata l’incapacità lavorativa è del 35% dal mese di dicembre 2010 (doc. AI 90-19/20/21). 2.11.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 alla persona assicurata spettano precedentemente i diritti di partecipazione alla procedura (ad esempio: quello di esprimersi sui quesiti peritali; consid. 3.4.2.9; cambiamento della giurisprudenza secondo DTF 133 V 446 );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2.12. Questo Tribunale, chiamato a verificare se lo stato di salute del ricorrente è stato accuratamente vagliato dall’UAI prima dell’emissione della decisione impugnata, dopo attenta analisi della documentazione medica agli atti, non può confermare l’operato dell’amministrazione, in quanto la problematica psichiatrica non è stata chiarita in modo soddisfacente. 2.12.1. Per quanto riguarda la patologia ORL l’assicurato è stato sottoposto ad un accurato esame nell’ambito della perizia SAM, grazie al consulto specialistico del Dr. __________, spec. FMH in otorinolaringoiatria, il quale nel rapporto del 22 luglio 2011, ha posto la diagnosi di “ Sordità dell’orecchio di sinistra con stato dopo operazione radicale per colesteatoma. – Ipoacusia percettiva prevalentemente ai toni bassi di tipo grave a destra. – Tinnito cronico di grado III ” (doc. AI 90-22) e ritenuto l’assicurato inabile al 100% nella precedente attività di tassista a causa della grave situazione uditiva (doc. AI 90-23). Il TCA non ha motivo per distanziarsi da tale valutazione peritale, che non è del resto stata smentita da certificati medico-specialistici attestanti delle patologie maggiormente invalidanti, in grado di influire sulla capacità lavorativa residua dell’interessato. 2.12.2. Per quanto riguarda la patologia reumatologica l’assicurato è stato sottoposto ad un accurato esame nell’ambito della perizia SAM, grazie al consulto specialistico del Dr. __________, spec. FMH in medicina interna e malattie reumatiche, che nella perizia del 23 maggio 2011 ha posto la diagnosi di “ 1. Esito da lussazione acromio-clavicolare di III° secondo Tossy a sin. il 13.9.2010 con: - Trattamento conservativo. - Residui dolori al carico e notevole instabilità articolare. 2. Sindrome lombovertebrale cronico-recidivante su: - marcata rotoscoliosi toracolombare destroconvessa. - Spondilartrosi tra L4-­S1. - Attualmente poco sintomatico. 3. Incipiente artrosi femoro-patellare bilaterale ” (doc. AI 90-33). A mente dello specialista le descritte patologie di natura ortopedico-reumatologica non hanno alcuna influenza nello svolgimento dell’attività di tassista. Per contro, per lavori fisicamente pesanti nei quali si richiedono sforzi maggiori per la colonna vertebrale oppure lavori con un’importante sollecitazione per le spalle l’inabilità è del 50%. Quale meccanico d’auto l’insorgente è considerato inabile al 30%, mentre in attività d’ufficio non vi sono limitazioni (doc. AI 90-34). Il TCA non ha motivo per distanziarsi da tale valutazione peritale, che non è del resto stata smentita da certificati medico-specialistici attestanti delle patologie maggiormente invalidanti, in grado di influire sulla capacità lavorativa residua dell’interessato. Il referto del 25 novembre 2011 del Dr. __________ dell’__________ non permette una diversa valutazione della fattispecie. Il medico ha escluso lesioni al ginocchio sinistro e per quanto riguarda la spalla sinistra ha anch’egli diagnosticato una lussazione acromio-clavicolare tipo Tossy III. Non viene quindi fornita alcuna indicazione relativa alla capacità lavorativa residua (doc. AI 106-3). 2.12.3.   Quanto all’aspetto psichiatrico, per contro, il TCA non può, in mancanza di ulteriori approfondimenti, prestare piena adesione alla valutazione peritale eseguita dalla Dr.ssa __________ per le ragioni che seguono. 2.12.3.1.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2.13.2.2.   Agli atti figurano, da un canto, le certificazioni del medico curante Dr.ssa __________ - che, in qualità di specialista, ha avuto (ed ha) in cura RI 1, nonché il rapporto peritale dello psicologo __________ - e, d'altro canto, la perizia SAM della Dr.ssa __________ e le valutazioni del SMR. Di principio, questi referti possono essere presi in considerazione nell'ambito di una valutazione globale delle prove. In effetti, come visto, secondo la giurisprudenza federale, per decidere a proposito del valore probante di un mezzo di prova, determinante è il suo contenuto , piuttosto che la sua provenienza. Nella perizia del 15 maggio 2011 la Dr.ssa __________, medico chirurgo – specialista in psichiatria ha posto la diagnosi di “- Uso improprio di alcolici in remissione (su programma di monitoraggio presso Ingrado) (ICD 10, F 10.9). – Distimia (ICD 10, F 34.1). – Ansia NAS (ICD 10, F 41.9) ” (doc. AI 90-28). Secondo la Dr.ssa __________ dal punto di vista strettamente psichiatrico le patologie descritte possono al massimo produrre un’inabilità lavorativa del 30-35% limitatamente alla presenza di uno stato d’ansia e del disturbo distimico (doc. AI 90-29). L’inizio dell’inabilità lavorativa viene fatta risalire al mese di dicembre 2010, in quanto da quel momento l’assicurato è in cura psichiatrica dalla Dr.ssa __________ (cfr. doc. AI 90-26, 83-6). Dalla documentazione medica agli atti emerge tuttavia la valutazione psichiatrica del 1° febbraio 2011 della Dr.ssa __________, spec. FMH in psichiatria e psicoterapia, che ha diagnosticato un “ Episodio depressivo di media gravità in disturbo depressivo ricorrente (F33.1 dell’ICD 10). Disturbo di personalità immatura, dipendente (F60.7 dell’ICD 10) ” (doc. AI 83-9) con inabilità al lavoro completa e duratura in qualsiasi ambito professionale. La Dr.ssa __________ ha evidenziato un quadro psicopatologico destinato ad aggravarsi nel tempo con una prognosi infausta (doc. AI 83-9/10). Il medico curante ha poi ribadito tale diagnosi nel rapporto intermedio del 6 maggio 2011, indicando un’“ evoluzione distimico-depressiva cronica nell’ambito di un grave disturbo di personalità misto, narcisisticamente fragile, dipendente, passivo-autosvalutativo (F61.0 dell’ICD 10) e di un importante etilismo secondario cronicizzato ” (doc. AI 90-35) e ancora nello scritto del 30 novembre 2011 nel quale viene indicato un aumento del dosaggio di Saroten fino a 75 mg (doc. AI 103-1). La Dr.ssa __________ ha preso posizione sulla valutazione del medico curante del 1 ° febbraio 2011 rilevando che la Dr.ssa __________ ha diagnosticato un “ quadro depressivo di media gravità ” limitandosi però a somministrare 50 mg di Saroten “ che non sembra essere la terapia d’attacco che ci aspetteremmo per una depressione di media gravità ” (doc. AI 90-26). La perita ha quindi criticato l’assenza di un “ modulatore per ridurre il rischio di ricadute ” e riscontrato un paziente “ poco-affatto differenziato, molto semplice e concreto ” piuttosto che immaturo come indicato dalla Dr.ssa __________ (doc. AI 90-26). Per quanto riguarda la capacità lavorativa residua la perita concorda con l’inabilità completa quale tassista “ ma non per fatti attinenti il versante psichiatrico ” vista la limitata terapia in corso e l’assenza di ricoveri in ambiente psichiatrico (doc. AI 90-27). Nel rapporto medico del 3 ottobre 2011 e nelle annotazioni del 14 dicembre 2011 i medici del SMR hanno confermato le conclusioni della perizia SAM (doc. AI 92-1, 108-1). 2.13.2.3.   Chiamato a pronunciarsi, il TCA, in applicazione della giurisprudenza di cui alla STF 8C_216/2009 del 28 ottobre 2009, pubblicata in DTF 135 V 465 sopra esposta (cfr. consid. 2.13.2.1.), ritiene che, nel caso di specie - alla luce dell’importante divergenza di diagnosi e di valutazione della capacità lavorativa residua tra la perita e il medico curante - vada ulteriormente approfondito l’aspetto psichiatrico. Va peraltro rilevato che la Dr.ssa __________ nella perizia del 15 maggio 2011 ha fatto riferimento unicamente al dosaggio di 50mg di Saroten Retard, mentre nel rapporto successivo del novembre 2011 della Dr.ssa __________ il dosaggio è differente (75 mg il 30 novembre 2011, doc. AI 103-1). Considerando l’aumento di dosaggio a novembre 2011 e la prognosi negativa del medico curante non è da escludere quindi un peggioramento della patologia. La perita non è tuttavia più stata interpellata a tal proposito. La Dr.ssa __________ inoltre ha diagnosticato un” importante etilismo secondario cronicizzato ” (doc. AI 90-35) che non viene approfondito nella perizia della Dr.ssa __________, la quale ha incluso “ l’uso improprio di alcolici in remissione (su programma di monitoraggio presso Ingrado) (ICD 10, F 10,9) ” tra le patologie con ripercussioni sulla capacità lavorativa, ma poi fa riferimento unicamente alla presenza di ansia e disturbo distimico alla base dell’inabilità lavorativa del 30-35% (doc. AI 90-29). In tale contesto va ricordato che il Tribunale federale - a proposito del principio sopra esposto secondo cui alle certificazioni del medico curante, anche se specialista, va riconosciuto un valore di prova limitato in ragione del rapporto di fiducia che lo lega al suo paziente - ha già avuto modo di sottolineare che non va tuttavia dimenticata la potenziale forza dei rapporti del medico curante, alla luce del fatto che quest’ultimo ha l’occasione di osservare il paziente durante un periodo di tempo prolungato (cfr. Pladoyer 3/09 p. 74 e STF 9C_468/2009 del 9 settembre 2009; D. Cattaneo, in “ Les expertises en droit des assurances sociales, in Cahiers genevois et romands de sécurité sociale n° 44-2010 pag. 124). Questa circostanza assume, nel caso di specie, un’importanza decisiva. Va infine rilevato che in sede ricorsuale l’insorgente ha prodotto la perizia del 27 settembre 2011 dello psicologo della circolazione e psicoterapeuta __________, che rileva l’impossibilità di riabilitare l’assicurato non solo alla guida professionale, ma solleva perplessità anche per quanto riguarda la guida senza elevata professionalità (cfr. doc. AI 90-20). Anche in questo caso la valutazione dello psicologo non è stata trasmessa alla perita Dr.ssa __________ per una presa di posizione, in particolare per quanto riguarda la problematica dell’abuso di alcolici. Agli atti vi è unicamente l’annotazione del 20 aprile 2012 della Dr.ssa __________ e del Dr. __________ che tuttavia non si esprimono sulle conclusioni della perizia dello psicologo della circolazione (doc. IV bis) 2.14.   Nella già citata sentenza 9C_243/2010 del 28 giugno 2011 (cfr. consid. 2.13.) il Tribunale federale ha precisato in quali casi il Tribunale cantonale deve allestire direttamente una perizia giudiziaria e in quali casi può rinviare gli atti all'assicuratore per un complemento istruttorio. L'Alta Corte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Nella concreta evenienza, ritenuto come vi siano degli accertamenti peritali svolti dall’amministrazione che necessitano un complemento (“ Ergänzung von gutachtlichen Ausführungen ”) , si giustifica il rinvio degli atti all’UAI ai sensi della giurisprudenza citata, per nuovi accertamenti psichiatrici. L’amministrazione dovrà sottoporre tutti i referti della Dr.ssa __________ alla perita Dr.ssa __________ per una nuova valutazione volta a chiarire le divergenze diagnostiche e relative alla capacità lavorativa residua di RI 1. Il perito dovrà inoltre prendere posizione sulla perizia dello psicologo __________ e sulle conseguenze dell’abuso etilico sulla capacità lavorativa. La decisione impugnata va quindi annullata e l'incarto retrocesso all'Ufficio AI, affinché metta in atto un approfondimento a livello psichiatrico. Quindi, in esito a tale complemento istruttorio, l’amministrazione effettuerà una valutazione globale delle patologie di cui soffre l’assicurato, debitamente motivata, e si pronuncerà nuovamente sul diritto alla rendita. V isto l'esito favorevole del ricorso, l'assicurato, patrocinato da un legale, ha diritto al versamento da parte dell’Ufficio AI di fr. 1’800.-- a titolo di ripetibili. 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