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32.2012.7 vom 29. Februar 2012</w:t>
      </w:r>
    </w:p>
    <w:p>
      <w:r>
        <w:t>TI Tribunale d'appello, 2012-02-29, IT</w:t>
      </w:r>
    </w:p>
    <w:p>
      <w:r>
        <w:rPr>
          <w:b/>
        </w:rPr>
        <w:t xml:space="preserve">Quelle: </w:t>
      </w:r>
      <w:r>
        <w:t>https://mcp.opencaselaw.ch/entscheid/ti_gerichte_32.2012.7</w:t>
      </w:r>
    </w:p>
    <w:p>
      <w:r>
        <w:t>FR: TI_GERICHTE 32.2012.7 du 29 février 2012</w:t>
      </w:r>
    </w:p>
    <w:p>
      <w:r>
        <w:t>IT: TI_GERICHTE 32.2012.7 del 29 febbraio 2012</w:t>
      </w:r>
    </w:p>
    <w:p>
      <w:pPr>
        <w:pStyle w:val="Heading2"/>
      </w:pPr>
      <w:r>
        <w:t>Regeste</w:t>
      </w:r>
    </w:p>
    <w:p>
      <w:r>
        <w:t>Caduta dalle scale con rottura menisco ginocchio dx. Valutazione del diritto alla rendita di invalidità in applic. metodo ordinario raffronto dei redditi. Negata AG poiché ricorso privo di esito favorevole</w:t>
      </w:r>
    </w:p>
    <w:p>
      <w:pPr>
        <w:pStyle w:val="Heading2"/>
      </w:pPr>
      <w:r>
        <w:t>Erwägungen</w:t>
      </w:r>
    </w:p>
    <w:p>
      <w:r>
        <w:rPr>
          <w:b/>
        </w:rPr>
        <w:t>E. 46</w:t>
      </w:r>
    </w:p>
    <w:p>
      <w:r>
        <w:t>).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in una sentenza U 156/05 del 14 luglio 2006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STFA I 761/01 del 18 ottobre 2002, consid. 3.1, pubblicata in SVR 2003 IV Nr. 11 e STFA I 26/02 del 9 agosto 2002, consid. 3.1). 2.4.   Dalle tavole processuali emerge che l’incapacità lavorativa di RI 1 ha avuto inizio con l’infortunio del 24 luglio 2009 - assunto dalla Cassa malati __________ -, in occasione del quale egli ha riportato la rottura del menisco esterno del ginocchio destro. Con decisione formale del 25 novembre 2010, la __________ ha posto termine alle proprie prestazioni a decorrere dal 1° febbraio 2010, rinunciando peraltro a pretendere la restituzione delle prestazioni (cura medica + indennità giornaliera) pagate sino al 31 maggio 2010 (cfr. doc. 75). Siccome dalla documentazione raccolta dall’assicuratore infortuni emergevano delle indicazioni contradditorie a proposito della natura dei disturbi denunciati dall’assicurato e della sua capacità lavorativa (secondo il dott. __________, spec. FMH in medicina interna, si sarebbe trattato di un disturbo da dolore somatoforme con inabilità lavorativa del 50% sia nella professione abituale sia (temporaneamente) in altre più adeguate - cfr. doc. 64 e 66; per il dott. __________, spec. FMH in chirurgia ortopedica, lo stato del ginocchio destro non giustificava più alcuna inabilità e ciò già a far tempo dal 1° febbraio 2010 - cfr. doc. 59 e 63; gli specialisti del Servizio di neurologia dell’Ospedale regionale di __________ hanno sospettato la presenza di una lesione del ramo infrapatellare del nervo femorale, precisando tuttavia che essa non sarebbe comunque suscettibile di spiegare la componente invalidante del disturbo, ovvero il dolore - cfr. doc. 68), il Servizio medico regionale (SMR) dell’AI ha disposto un approfondimento peritale a cura di un reumatologo e di uno psichiatra (cfr. doc. 40 e doc. 44). La perizia reumatologica é stata eseguita dal dott. __________, spec. FMH in reumatologia, il quale ha personalmente visitato il ricorrente in data 31 gennaio 2011. Dal relativo referto risulta che RI 1 soffriva di una gonartrosi prevalentemente mediale a destra in esiti di meniscectomia laterale parziale e di resezione parziale del corno posteriore del menisco mediale, di una lesione del legamento crociato anteriore a destra, come pure di obesità (doc. 49, p. 7). Il sanitario interpellato dall’amministrazione ha quindi dichiarato l’assicurato in grado di riprendere il lavoro di operaio agricolo con però una riduzione di rendimento del 20%. Sempre secondo il dott. __________, in un’attività alternativa adeguata - leggera per quanto riguarda il sollevamento/trasporto di carichi, da svolgere in posizione prevalentemente seduta e in cui non debba spostarsi per oltre 50 metri oppure su terreno accidentato (cfr. doc. 49, p. 9) -, l’insorgente presentava una capacità lavorativa completa con un rendimento massimo del 100%, già a contare dal 1° aprile 2010 (doc. 49, p. 8). Le condizioni di salute psichica del ricorrente sono state indagate dal dott. __________, spec. FMH in psichiatria e psicoterapia, il quale ha concluso che egli non presentava alcuna diagnosi psichiatrica, segnatamente alcun disturbo somatoforme da dolore cronico (cfr. doc. 51). 2.5. Alla luce degli accertamenti compiuti dall’amministrazione, si deve dunque concludere che, dal punto di vista medico, l’assicurato non è più in grado di esercitare pienamente l’attività di operaio agricolo, svolta in precedenza. Nondimeno, egli sarebbe in grado di svolgere a tempo pieno e con un rendimento completo delle attività alternative, nonostante il danno alla salute infortunistico. Con la propria impugnativa, il ricorrente contesta però l’affidabilità dei rapporti elaborati dai dottori __________ e __________, e ciò nella misura in cui essi giungerebbero a delle conclusioni in contrasto con quelle emergenti dalla restante documentazione medica agli atti (in particolare con le certificazioni dei dottori __________, __________, __________, __________ e __________ - cfr. doc. I, p. 4). Al riguardo, questo Tribunale constata che, in realtà, l’apprezzamento espresso dai sanitari interpellati dall’UAI non è inficiato dai referti dei medici indicati dall’insorgente. In effetti, le certificazioni dei dottori __________ (cfr. doc. 68-13), __________ (cfr. doc. 68-10), __________ (cfr. doc. 68-11) e __________ (cfr. doc. 68-9) non contengono alcuna indicazione a proposito della residua capacità dell’assicurato. È vero che il curante dott. __________, con il certificato del 28 settembre 2011, ha dichiarato che “… i disturbi del mio paziente non gli permettono attualmente di esercitare una professione, come quella precedente, per l’intera giornata. Sono convinto che non si possa esigere una percentuale di abilità lavorativa superiore al 50%.” (doc. A 3), é comunque altrettamento vero che la sua valutazione é riferita alla professione di operaio agricolo e non ad attività lavorative più confacenti. Del resto, l’apprezzamento del reumatologo dott. __________ risulta sostanzialmente condiviso anche dal dott. __________, il cui referto 2 maggio 2011 figura tra la documentazione prodotta nella parallela procedura ricorsuale in materia di assicurazione contro gli infortuni (inc. 35.2011.75, doc. 73). Infatti, secondo questo sanitario, RI 1 é completamente abile al lavoro, dal profilo tanto temporale che del rendimento, in un’attività da esercitare in posizione alternata, su suolo piano, evitando ambienti umidi e freddi. In esito a quanto precede, il TCA non vede quindi motivi che gli impediscano di fare proprie le risultanze degli accertamenti disposti dall’amministrazione.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VSI 1998 p. 296 consid. 3b; STFA U 329/01 del 25 febbraio 2003, consid. 4.7). 2.6. Si tratta ora di valutare le conseguenze economiche del danno alla salute. L'UAI ha determinato il reddito da valido , applicando i dati salariali statistici (tabella TA 1, pto. 01, livello di qualifica 4, anno di riferimento 2010), tenuto conto che RI 1 ha perso il proprio posto di lavoro alle dipendenze della ditta __________ per ragioni estranee al danno alla salute (cfr. doc. 53-5 e doc. IV, p. 4). Da parte sua, il ricorrente condivide che il reddito da valido vada stabilito in base ai dati statistici e non partendo dal reddito concretamente conseguito presso il suo ex datore di lavoro (cfr. doc. I, p. 6: “…, a giusta ragione, (…), sia il reddito da valido che il reddito da invalido sono stati stabiliti su base statistica.”). Ritenuto che, senza il danno alla salute, perso il proprio impiego presso la __________, l’assicurato avrebbe verosimilmente cercato e reperito un altro posto di lavoro nel medesimo settore, in cui é stato attivo per ben 23 anni (dal 1987), il TCA giudica corretto che l’amministrazione abbia applicato il valore statistico afferente al settore della ortofloricoltura. Dalla Tabella TA 1 si evince che l’assicurato, svolgendo nel 2008 una professione che presuppone qualifiche inferiori nel settore della ortofloricoltura , avrebbe conseguito, in media, un salario mensile lordo pari a fr. 3'429. Riportando questo dato su 42.7 ore ( cfr. tabella pubblicata sul sito web dell’Ufficio federale di statistica), esso ammonta a fr. 3'660.45 mensili oppure a fr. 43'925.40 per l'intero anno (fr. 3'660.45 x 12). Dopo adeguamento all'indice dei salari nominali, si ottiene, per il 2010 (cfr. la relativa tabella pubblicata sul sito web dell’UFS), un reddito annuo di fr. 45'199.23. Il reddito senza l’invalidità é dunque pari a fr. 45'199.23 .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2.8. Conformemente alla giurisprudenza federale di cui si è detto al considerando 2.7., per la determinazione del reddito ipotetico da invalido tornano applicabili (ancora una volta) i dati statistici nazionali contenuti nella Tabella TA 1. Pertanto, il ricorrente, esercitando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2010 (cfr. la relativa tabella pubblicata sul sito web dell’UFS), un reddito annuo di fr. 61'778.16. Nel caso di specie, una decurtazione del reddito statistico da invalido a titolo di gap salariale é a priori esclusa, visto che il reddito da valido é stato determinato in base ai dati statistici nazionali (cfr. consid. 2.6.). 2.9.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Dalla decisione formale impugnata si evince che l’UAI ha praticato una riduzione del 10% per tenere conto delle “… limitazioni espresse in sede medica …” (doc. 78). Secondo l’assicurato, la decurtazione del reddito statistico da invalido dovrebbe invece essere di almeno il 20% (doc. I, p. 6). Questa Corte ritiene che la questione non meriti più ampi approfondimenti, visto che, anche qualora si volesse applicare la riduzione massima consentita dalla giurisprudenza (25%), il grado di invalidità di Risto Skodrov non raggiungerebbe né la soglia per avere diritto a provvedimenti professionali (20%) né, tantomeno, quella per avere diritto a una rendita di invalidità (40%). Infatti, confrontando i fr. 46'333.62 ( fr. 61'778.16 - 25%) al reddito che egli avrebbe potuto conseguire se non fosse insorto il danno alla salute, e cioè fr. 45'199.23, risulta che l’assicurato non lamenta alcun discapito economico. In esito a quanto precede, la decisione impugnata, mediante la quale l’UAI ha negato all’assicurato il diritto a una rendita di invalidità, merita di essere confermata.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fr. 500 sono poste a carico del ricorrente. 2.11.   L’assicurato ha formulato istanza d’assistenza giudiziaria tendente all’esenzione dalle tasse e spese processuali e all’ammissione al gratuito patrocinio (cfr. art. 3 cpv. 1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le valutazioni medico-teorica ed economica hanno consentito di accertare con la dovuta chiarezza il grado di invalidità e l’insorgente, anche se patrocinato da un legale, non ha apportato alcun valido elemento atto a contraddire o a mettere in dubbio tali valutazioni, in particolare quella medica (cfr. consid. 2.5.). In simili condizioni, non essendo realizzato uno dei presupposti (cumulativi) l'istanza tendente all’esonero delle spese e tasse di giustizia e all’ammissione al gratuito patrocinio,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