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32.2012.69 vom 20. August 2012</w:t>
      </w:r>
    </w:p>
    <w:p>
      <w:r>
        <w:t>TI Tribunale d'appello, 2012-08-20, IT</w:t>
      </w:r>
    </w:p>
    <w:p>
      <w:r>
        <w:rPr>
          <w:b/>
        </w:rPr>
        <w:t xml:space="preserve">Quelle: </w:t>
      </w:r>
      <w:r>
        <w:t>https://mcp.opencaselaw.ch/entscheid/ti_gerichte_32.2012.69</w:t>
      </w:r>
    </w:p>
    <w:p>
      <w:r>
        <w:t>FR: TI_GERICHTE 32.2012.69 du 20 août 2012</w:t>
      </w:r>
    </w:p>
    <w:p>
      <w:r>
        <w:t>IT: TI_GERICHTE 32.2012.69 del 20 agosto 2012</w:t>
      </w:r>
    </w:p>
    <w:p>
      <w:pPr>
        <w:pStyle w:val="Heading2"/>
      </w:pPr>
      <w:r>
        <w:t>Regeste</w:t>
      </w:r>
    </w:p>
    <w:p>
      <w:r>
        <w:t>Soppressione della rendita AI in seguito al miglioramento dello stato di salute. Decisione confermata. Nessun diritto a provvedimenti d'integrazione né all'assitenza giudiziaria</w:t>
      </w:r>
    </w:p>
    <w:p>
      <w:pPr>
        <w:pStyle w:val="Heading2"/>
      </w:pPr>
      <w:r>
        <w:t>Erwägungen</w:t>
      </w:r>
    </w:p>
    <w:p>
      <w:r>
        <w:rPr>
          <w:b/>
        </w:rPr>
        <w:t>E. 25</w:t>
      </w:r>
    </w:p>
    <w:p>
      <w:r>
        <w:t>marzo 2009: “ Da diversi mesi accusa pure dolori alla schiena ”), ma non è stata considerata invalidante dai medici che lo hanno visitato. Infine, per quanto concerne la circostanza che l’UAI avrebbe ammesso un miglioramento repentino dello stato valetudinario dell’insorgente, giacché la capacità lavorativa dell’assicurato in attività leggere è passata da un giorno all’altro (tra il 1° ed il 2 febbraio 2011) dallo 0% al 100%, va evidenziato che l’amministrazione ha in realtà accertato, sulla base del referto del 2 febbraio 2011, che perlomeno dal momento della visita avvenuta il medesimo giorno presso il dr. med. __________, l’interessato è abile al 100% in attività leggere e confacenti al suo stato di salute, ma non che il miglioramento è stato repentino. Semmai, questa valutazione è favorevole al ricorrente (la rendita al 30% della __________, ad esempio, decorre dal 1° ottobre 2010; cfr. doc. X/Bis/I). Va ancora rilevato che la differente valutazione medica della capacità lavorativa tra il medico curante, dr. med. __________, da una parte, ed i medici SMR (e della __________) dall’altra, è spiegabile con la diversità degli incarichi assunti (a scopo di trattamento piuttosto che di perizia: cfr. sentenza 9C_151/2011 del 27 gennaio 2012; cfr. anche sentenza 9C_949/2010 del 5 luglio 2011, nonché sentenza 9C_9/2010 del 29 settembre 2010). Non vi sono in concreto elementi medici oggettivi atti a sovvertire le conclusioni dei medici SMR, dr. med __________(cfr. a proposito dei compiti e del valore probatorio attribuiti ai rapporti interni dell’SMR, la SVR 2009 IV n. 56 pag. 174 [9C_323/2009]; cfr. anche la sentenza 9C_15/2011 del 27 gennaio 2012, consid. 5.2; cfr. pure la sentenza 8C_814/2011 del 12 gennaio 2012, dove, in ambito LAINF, al consid. 2.4, il TF ha affermato che “ dopo attento esame dell’incarto, visto in particolare che nel ricorso di ultima istanza non si adducono argomenti idonei a stravolgere le conclusioni dell’autorità di primo grado, la quale ha esposto in modo convincente come di fronte a valutazioni mediche contraddittorie […omissis…] si debba ritenere maggiormente attendibile il parere espresso dagli specialisti intervenuti per conto dell’assicuratore resistente (in merito al valore probatorio riconosciuto ai pareri medici interni dell’assicurazione cfr. DTF 125 V 351 consid. 3b/ee pag. 353), anche questa Corte non vede valido motivo per scostarsi da questa opinione […] ”).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questo Tribunale condivide le affidabili e concludenti valutazioni dei medici SMR, dr. med. __________(cfr. più in generale sul valore probatorio dei rapporti interni del SMR la sentenza I 143/07 del 14 settembre 2007, consid. 3.3; cfr. pure la sentenza 9C_949/2010 del 5 luglio 2011 con rinvii e 9C_376/2007 del 13 giugno 2008), che hanno valutato compiutamente tutta la documentazione medica agli atti giungendo ad una conclusione logica e priva di contraddizioni in merito all’incapacità lavorativa del ricorrente. Ne segue che l’interessato va considerato completamente abile al lavoro in attività leggere confacenti al suo stato di salute dal 2 febbraio 2011, con le limitazioni ivi descritte. Ne segue che ulteriori accertamenti medici, tra cui l’accennato approfondimento pluridisciplinare, non sono necessari, giacché gli atti prodotti dalle parti permettono di stabilire la capacità lavorativa del ricorrente.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Va infine rammentato che secondo costante giurisprudenza, l'autorità giudicante deve limitare l'esame del caso alla situazione effettiva che si presenta all'epoca in cui è stata resa la decisione impugnata, in concreto l’8 febbraio 2012,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cui un eventuale peggioramento della capacità lavorativa in attività leggere successiva a tale data deve semmai essere oggetto di una nuova procedura. Nel caso di specie lo stesso consulente medico SMR, dr. med. __________, specialista FMH medicina interna-cardiologia, il 2 febbraio 2011 ha evidenziato che la prognosi non è buona per quel che concerne i fattori di rischio e che pertanto sono necessarie revisioni a distanza di 1-2 anni (doc. AI 84-3; cfr. anche le affermazioni, di medesimo tenore, della consulente in integrazione del 23 febbraio 2011, doc. AI 86-1). Visto il tempo trascorso, spetterà pertanto all’UAI procedere in tal senso, o, semmai, al ricorrente, a sollecitare l’amministrazione. Va ora esaminato se il calcolo del grado d’invalidità è stato effettuato correttamente. 6.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di specie l’insorgente contesta il reddito da valido preso in considerazione dall’UAI per il 2010 (recte 2009; cfr. doc. 86-2) di fr. 68’110, e sostiene che quell’anno avrebbe potuto conseguire almeno fr. 73'400. Va innanzitutto evidenziato che l’importo preso in considerazione nella decisione impugnata dall’UAI corrisponde in sostanza a quanto attestato dal datore di lavoro (cfr. doc. LAINF 106-1: fr. 5'292.30 X 13 = 68'800 nel 2010; cfr. anche doc. AI 68-1: cfr. anche doc. AI 9-3), ma che tuttavia deve essere aggiornato al 2011, ossia all’anno d’inizio dell’eventuale continuazione del diritto alla rendita, per un importo corretto di fr. 69'488 (5'292.30 X 13, aumentato del 1% secondo la stima trimestrale aggiornata dei salari nel 2011). Esso non è inoltre molto differente da quello utilizzato dalla __________ per il 2010, ossia fr. 68'877 (cfr. decisione LAINF del 23 aprile 2012, doc. X/Bis/I dove viene peraltro indicato che “ conformemente alla convenzione dell’1.3.2012 modifichiamo la rendita (…)” , sottolineatura del redattore ) . Va comunque evidenziato che, anche volendo prendere in considerazione, per pura ipotesi di lavoro, l’importo di fr. 73'400 nel 2010, fatto valere dal ricorrente (doc. I), aggiornato nel 2011 a fr. 74'134 (+1%), come si vedrà in seguito, il diritto alla rendita non sarebbe in ogni caso dato. 7.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4-2012, p. 94 ), esso ammonta a fr. 5'097.04 mensili oppure a fr. 61'164.48 (cfr. sentenza 32.2011.224 del 9 febbraio 2012) per l'intero anno (fr. 5'097.04 x 12, ritenuto che la quota di tredicesima è già compresa, cfr. STFA del 18 febbraio 1999, U 274/98, p. 5 consid. 3a) e nel 2011 a fr. 61'776.12 (+ 1%). L’assicurato, quale manovale, avrebbe guadagnato nel 2011 fr. 69’488 (cfr. considerando precedente). Tale reddito si situa sopra la media dei salari svizzeri per un’attività equivalente (cfr. Tabella TA1 p.to 41-43 “ costruzioni ”, livello di qualifica 4, fr. 5’310 : 40 X 41.4 X 12 mesi = 65’950 nel 2010, fr. 66'610 nel 2011 [+ 1%]).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l’UAI ha applicato una riduzione del 14% (4% per attività leggere e 10% per altri fattori di riduzione) che l’insorgente ha contestato. Tuttavia questo Tribunale, che, di massima, non può senza motivi pertinenti sostituire il proprio apprezzamento a quello dell’amministrazione (cfr. DTF 137 V 71, consid. 5.2) non ha alcun motivo per modificare la riduzione ritenuto che si tratta di una percentuale che rientra nei parametri fissati dalla giurisprudenza. Del resto, come si vedrà in seguito, anche prendendo in considerazione la riduzione del 20% proposta dall’insorgente, il diritto alla rendita non sarebbe comunque dato. Raffrontando il reddito da valido di fr. 69’488 con quello da invalido di fr. 61’776 , ridotto del 14% a fr. 53’127, si ottiene un grado d’invalidità dello 24% che non dà diritto ad alcuna rendita. Utilizzando tutti i parametri più favorevoli per il ricorrente, ossia un salario da valido di fr. 74'134 ed una riduzione del 20% del salario da invalido di fr. 61'776 a fr. 49'421, si ottiene un grado d’invalidità del 33% che non permette comunque all’insorgente di essere messo al beneficio di una rendita d’invalidità. In tal senso la decisione impugnata merita conferma. 8.   Infine il ricorrente contesta che non siano stati riconosciuti i presupposti per poter ammettere l’adozione di provvedimenti di integrazione. Secondo l'art. 8 cpv. 1 LAI gli assicurati invalidi o direttamente minacciati d'invalidità hanno diritto ai provvedimenti d'integrazione necessari e atti a ripristinare, migliorare, conservare o migliorare la loro capacità di guadagno o la loro capacità di svolgere mansioni consuete. Per stabilire tale diritto deve essere considerata tutta la durata probabile della vita professionale rimanente. Fra i provvedimenti d'integrazione concessi in virtù della LAI sono previsti pure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9.   In concreto, pur essendo il grado d’invalidità superiore alla soglia del 20% la decisione dell’UAI merita conferma. La circolare sui provvedimenti d’integrazione e di ordine professionale prevede: " 4010 Le seguenti condizioni devono essere adempiute cumulativa-mente: –  a causa di un’invalidità imminente o esistente la persona assicurata non è più in grado di esercitare la precedente professione o di compiere le mansioni consuete, lucrative o no; –  la persona assicurata deve essere idonea all’integrazione, ossia essere oggettivamente e soggettivamente in grado di sottoporsi con successo ai provvedimenti di formazione professionale; –  la formazione deve essere compatibile con l’invalidità e corrispondere alle capacità della persona assicurata. Deve essere inoltre semplice ed adeguata e offrire possibilità di guadagno pressappoco equivalenti a quelle della precedente attività. Non sono rimborsate le spese di una formazione che non prospetta una prestazione lavorativa economicamente valorizzabile. (…) 4013 Se una persona assicurata è sufficientemente integrata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non entra in considerazione (cfr. sentenza 32.2011.143 del 21 novembre 2011). La consulente IP nel rapporto del 23 febbraio 2011 non ha proposto provvedimenti professionali in considerazione dell’età, dell’assenza di una formazione di base e del fatto che l’assicurato è inattivo dal 2007 (doc. AI 86-3). Come rettamente indicato dall’Ufficio AI l’insorgente, senza dover intraprendere una specifica riqualifica professionale, potrebbe svolgere attività semplici e ripetitive dal profilo fisico leggero o medio-leggero. In sede di risposta vengono elencate attività nell’ambito industriale e nel settore delle prestazioni di servizio, quali lavori leggeri di montaggio, compiti di controllo e sorveglianza (cfr. doc. IV, pag. 4; cfr. anche sentenza 32.2011.143 del 21 novembre 2011). Questo Tribunale rileva inoltre che la consulente IP, nel rapporto del 23 febbraio 2011, ha indicato che rimane aperta per l’assicurato la possibilità di far capo ad un sostegno al collocamento sulla base dell’art. 18 LAI, segnatamente qualora il danno alla salute sia d’impedimento alla ricerca di un posto di lavoro (cfr. anche DTF 116 V 85 con riferimenti; SVR 2003 IV Nr. 11 pag. 34 consid. 4.4.; in merito cfr. anche D. Cattaneo, “La promozione dell’autonomia del disabile: esempi scelti dalle assicurazioni sociali”, in RDAT I 2003 pag. 595s). Spetta dunque all’assicurato, se del caso, attivarsi in questo senso e ricontattare la Consulente IP (cfr. sentenza 32.2011.143 del 21 novembre 2011) . Nella misura in cui l’UAI ha rifiutato il riconoscimento anche di provvedimenti d’integrazione la decisione impugnata merita conferma (cfr. sentenza 32.2011.143 del 21 novembre 2011) . 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 ricorrente. Quest’ultimo, tuttavia, chiede di poter essere messo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Nella presente fattispecie non risulta tuttavia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dell’inserto, la presente vertenza appariva sin dall’inizio destinata all’insuccesso in quanto le prospettive di esito favorevole erano considerevolmente minori dei rischi di perdere la causa. In effetti, l’insorgente non ha più prodotto alcun certificato medico in sede di ricorso, mentre quelli presentati in sede di osservazioni al progetto di decisione non erano manifestamente atti a sovvertire le conclusioni dei medici SMR. In simili condizioni, non essendo realizzato uno dei presupposti (cumulativi), la domanda tendente all’ammissione dell’assistenza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