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32.2012.50 vom 12. Januar 2012</w:t>
      </w:r>
    </w:p>
    <w:p>
      <w:r>
        <w:t>TI Tribunale d'appello, 2012-01-12, IT</w:t>
      </w:r>
    </w:p>
    <w:p>
      <w:r>
        <w:rPr>
          <w:b/>
        </w:rPr>
        <w:t xml:space="preserve">Quelle: </w:t>
      </w:r>
      <w:r>
        <w:t>https://mcp.opencaselaw.ch/entscheid/ti_gerichte_32.2012.50</w:t>
      </w:r>
    </w:p>
    <w:p>
      <w:r>
        <w:t>FR: TI_GERICHTE 32.2012.50 du 12 janvier 2012</w:t>
      </w:r>
    </w:p>
    <w:p>
      <w:r>
        <w:t>IT: TI_GERICHTE 32.2012.50 del 12 gennaio 2012</w:t>
      </w:r>
    </w:p>
    <w:p>
      <w:pPr>
        <w:pStyle w:val="Heading2"/>
      </w:pPr>
      <w:r>
        <w:t>Regeste</w:t>
      </w:r>
    </w:p>
    <w:p>
      <w:r>
        <w:t>Casalinga. Metodo misto. L'UAI ha correttamente versato un quarto di rendita dal 1.5.2010. Confermata valutazione medica e inchiesta economica per le persone che si occupano dell'economia domestica</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pubblicata in DTF 137 V 334, ha riconfermato la sua giurisprudenza relativa al metodo misto.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Nel caso concreto, al fine di stabilire il grado d’invalidità, l’Ufficio AI, applicando il metodo misto, ha valutato al 50% la parte dedicata all’attività salariata e al 50% la quota dedicata alle mansioni domestiche. Questa suddivisione viene contestata dall’insorgente che ha postulato il riconoscimento della quota del 100% quale salariata (doc. I). Il TCA rileva che nel formulario per la richiesta di prestazioni AI l’assicurata ha indicato, quale attività principale, quella di “ casalinga ” dal mese di giugno 1999 (doc. AI 1-5, pto. 6.4.1.). RI 1 ha svolto l’attività di operaia a tempo pieno presso la __________ di __________ fino al 1999, in seguito non ha più svolto alcuna attività lavorativa dedicandosi alle mansioni di casalinga (doc. AI 5-1; 34-1). Si rileva che la famiglia è composta dal marito __________ (1959) e dai figli __________ (1999) e __________ (1990). Nell’inchiesta economica del 14 luglio 2010, alla domanda “ se non fosse intervenuto il danno alla salute, l’assicurata eserciterebbe oggi un’attività lucrativa? ”, l’assicurata ha asserito che in assenza del danno alla salute avrebbe necessità di lavorare al 100% o almeno al 50%, a causa di importanti problemi economici (doc. AI 23-2). Con scritto del 17 settembre 2010 l’UAI ha interpellato la ricorrente su tale questione (doc. AI 21-1), la quale ha risposto sostenendo che se non fosse intervenuto il danno alla salute avrebbe continuato a fare ricerche come donna di pulizie al 50/100%. Non si è iscritta all’URC e non ha più le lettere di ricerca dei posti di lavoro (doc. AI 22-1). Alla luce di quanto emerge dalla documentazione agli atti, il TCA ritiene maggiormente verosimile una percentuale del 50% quale salariata, piuttosto che un tempo pieno in considerazione del lungo tempo trascorso senza che l’assicurata svolgesse un’attività lucrativa, della mancata iscrizione all’URC e dell’assenza di prove a sostegno di ricerche di posti di lavoro a tempo pieno. Vengono quindi confermate le conclusioni a cui è giunta l’amministrazione.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In una decisione del 24 agosto 2006 concernente un caso di assicurazione per l ' invalidità (I 938/05), ha ammesso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Dal profilo medico nel caso in esame l’UAI ha attribuito all’assicurata un quarto di rendita d’invalidità sulla base della valutazione del Servizio medico regionale (SMR). Nel rapporto medico del 5 febbraio 2010 il Dr. __________, spec.FMH in medicina interna, ha posto la seguente diagnosi e valutazione: " (…) Diagnosi ► Lombalgia cronica su alterazioni statico degenerative multi segmentali ► Discopatia L2-L3, L3-L4, L4-L5, sindrome irritativa L5-S1 dx ► Coxartrosi bilaterale sintomatica maggiore a destra ► Iniziale sindrome da impingement spalla destra Valutazione/conclusione Assicurata di 47 anni in condizioni generali compromesse. Spiccata sintomatologia dolorosa localizzata al rachide lombosacrale con irradiazione sciatalgia all'arto inferiore di destra. Coesiste coxalgia bilaterale con maggiore localizzazione alla coxo femorale di destra. L'obiettività clinica risulta essere molto limitata per la nota sintomatologia dolorosa. Evoluzione dello stato clinico non ricostruibile con certezza per mancanza di obiettività in merito. L'obiettività odierna dimostra una radicolite con giustificata sciatalgia destra. La valutazione clinica odierna, anche in considerazione delle forti limitazioni nell'obiettività clinica, permette di definire i limiti funzionali descritti nell'esame della funzionalità fisica in allegato. Per quanto riguarda la definizione delle incapacità lavorative, presa visione della certificazione della Dr.ssa __________ (medico curante) con indicazione di IL 100% dal 2004, vista la descrizione dell'assicurata stessa che dichiara una lenta ma progressiva evoluzione sfavorevole della sintomatologia dolorosa lombosacrale, risulta esigibile IL 20% dal 2004 come casalinga. IL 60% come casalinga dal dicembre 2009. Prognosi favorevole solo con provvedimento neurochirurgico specialistico. Utile rivalutazione RMN. Utile migliore inquadramento della terapia antalgica medica. Dal punto di vista clinico sarà opportuna rivalutazione a distanza di 12 mesi dalla valutazione specialistica neurochirurgica (eventuale intervento)." (doc. AI 17/3-4) Nell’annotazione del 22 febbraio 2011 il Dr. __________ ha fornito la seguente precisazione: “In riferimento al rapporto medico SMR con data 05.02.2010 si precisa che: In attività lavorativa rispettosa dei limiti funzionali da dicembre 2009 IL 80%. Per quanto riguarda l’attività come casalinga risulta confermata IL 20% dal 2004. Da dicembre 2009 la IL viene definita dalla consueta inchiesta per casalinghe. IL 20% dal 2004 in attività adeguata.” (doc. AI 26-1). Questo Tribunale non ha motivo per mettere in dubbio la valutazione effettuata dal SMR, da considerare dettagliata, approfondita e quindi rispecchiante i parametri giurisprudenziali sopra ricordati. Il Dr. __________, spec. FMH in medicina interna, nel rapporto medico del 5 febbraio 2010 ha infatti posto la diagnosi di “ Lombalgia cronica su alterazioni statico degenerative multisegmentali. Discopatia L2-L3, L3-L4, L4-L5, sindrome irritativa L5-S1 dx. Coxartrosi bilaterale sintomatica maggiore a destra. Iniziale sindrome da impingement spalla destra ” (doc. AI 17-3). Per quanto riguarda la capacità lavorativa residua il Dr. __________ ha inizialmente indicato un’inabilità lavorativa completa (100%) dal 2004 sulla base del rapporto medico del 28 dicembre 2009 della Dr.ssa __________ (doc. AI 16-1), e un’inabilità del 20% dal 2004 come casalinga aumentata al 60% dal mese di dicembre 2009 (doc. AI 17-4). Nelle annotazioni del 22 febbraio 2011 il Dr. __________ ha precisato che in attività adeguate l’inabilità è del 20% dal 2004 e dell’80% dal mese di dicembre 2009, mentre nelle mansioni di casalinga egli ha confermato l’inabilità del 20% dal 2004 e dal dicembre 2009 ha rinviato all’inchiesta economica per le persone che si occupano dell’economia domestica che ha indicato una limitazione complessiva del 30,5% (doc. AI 26-1). Nelle successive annotazioni del 10 agosto 2011 il Dr. __________ ha ritenuto coerente con la valutazione medica la limitazione complessiva del 30,5% posta dall’assistente sociale (doc. AI 31-1). Il TCA non ha motivo per distanziarsi da tale valutazione, che non è del resto stata smentita da certificati medico-specialistici attestanti delle patologie maggiormente invalidanti, in grado di influire sulla capacità lavorativa residua dell’interessata. In conclusione, rispecchiando la valutazione del SMR i criteri di affidabilità e completezza richiesti dalla giurisprudenza (cfr. consid. 2.7.),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inabile al lavoro all’80% in attività adeguate e rispettose dei suoi limiti funzionali dal mese di dicembre 2009. 2.9.   Per quel che concerne la valutazione della capacità dell’assicurata quale casalinga, l’Ufficio AI ha fatto esperire un’inchiesta economica per le persone che si occupano dell’economia domestica: nel rapporto del 17 novembre 2010 l’assistente sociale ha stabilito una limitazione complessiva del 30,5% (cfr. doc. AI 23-1). 2.10.   Come è già stato anticipato ai consid. 2.3.; 2.4., l'invalidità delle persone che si occupano (esclusivamente o parzialmente) dell'economia domestica, è stabilita confrontando le singole attività nell'economia domestica ancora accessibili al richiedente la rendita AI, con i lavori che può eseguire una persona sana. Secondo le regole stabilite dalla prassi amministrativa e riportate alle cifre 2122ss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2.11.   Come detto, l’Ufficio AI ha incaricato l’assistente sociale di esperire un’inchiesta economica per le persone che si occupano dell’economia domestica sfociata nel rapporto del 17 novembre 2011 (cfr. doc. 23-1 e segg.) dal seguente tenore: " (...) 5.   ATTIVITÀ - descrizione degli impedimenti dovuti all'invalidità 5.1. Conduzione dell'economia domestica pianificazione, organizzazione, ripartizione del lavoro, controllo importanza assegnata 5 percentuale degli impedimenti 0 percentuale di invalidità 0 % Nessun impedimento. 5.2. Alimentazione preparazione dei pasti, pulizia della cucina, riserve importanza assegnata</w:t>
      </w:r>
    </w:p>
    <w:p>
      <w:r>
        <w:rPr>
          <w:b/>
        </w:rPr>
        <w:t>E. 35</w:t>
      </w:r>
    </w:p>
    <w:p>
      <w:r>
        <w:t>percentuale degli impedimenti 30 percentuale di invalidità 10,5% Spesso è il coniuge ad occuparsi della preparazione dei pasti; l'assicurata è in grado di cucinare unicamente pietanze semplici e sbrigative, dove non è necessario rimanere in piedi a lungo. Lentamente esegue il quotidiano riordino del locale cucina e se il carico di lavoro non è molto, riesce anche a lavare i piatti (altrimenti se ne occupa la figlia). I famigliari apparecchiano-sparecchiano e l'aiutano nel riassetto. Delle pulizie stagionali del locale cucina si occupa il marito; l'assicurata esegue unicamente quelle leggere a livello piano lavoro (non riesce a d'inginocchiarsi e fatica a salire sua una scala). Considerata l'esigibilità della collaborazione dei famigliari; valuto nella misura del 30% tenendo conto del minor rendimento nella preparazione dei pasti, del maggior impiego di tempo nelle attività quotidiane e le difficoltà nei lavori pesanti a carattere stagionale. 5.3. Pulizia dell'appartamento rispolvero, pulizia dei pavimenti, dei vetri, rifare i letti, ecc. importanza assegnata 20 percentuale degli impedimenti 70 percentuale di invalidità 14 A causa delle limitazioni nei movimenti di estensione-flessione della zona lombare e della sintomatologia dolorosa che aumenta ad ogni movimento, la signora RI 1 non riesce ad occuparsi delle pulizie dell'appartamento; è in grado di eseguire unicamente quelle leggere a livello piano lavoro. Delle pulizie pesanti, sia quotidiane sia stagionali, se ne occupano i famigliari. L'assicurata riordina il letto quotidianamente ed aiuta il marito nel cambio delle lenzuola. Considerata l'esigibilità della collaborazione dei famigliari, valuto nella misura del 70% tenendo conto degli impedimenti nei lavori pesanti. 5.4. Spesa e acquisti diversi compresi pagamenti, trattative assicurazioni e rapporti ufficiali importanza assegnata 10 percentuale degli impedimenti 0 percentuale di invalidità 0 % La signora RI 1 è in grado di eseguire la piccola spesa quotidiana presso il vicino supermercato ed accompagna il marito in occasione di quella settimanale evitando il trasporto di acquisti troppo pesanti. Insieme al marito, si occupa della gestione amministrativa familiare e nei giorni di relativo benessere si reca al vicino ufficio postale per seguire i pagamenti mensili. L'assicurata mantiene tuttora una buona autonomia nelle attività qui trattate. Tenendo conto dell'esigibilità della collaborazione dei famigliari non ritengo giustificata alcuna percentuale d'impedimento. 5.5. Bucato, confezione e riparazioni di indumenti lavare, stendere, stirare, cucire, lavorare a maglia, ecc. importanza assegnata 20 percentuale degli impedimenti 30 percentuale di invalidità 6 % I famigliari trasportano la cesta della biancheria; la figlia carica-scarica la lavatrice; l'assicurata imposta il lavaggio ed al termine inserisce il bucato nell'asciugatrice. In assenza di aiuto, la signora RI 1 farebbe tutto da sola, eseguendo ogni movimento con estrema lentezza. Dello stiro si occupa il marito; a causa dei dolori l'assicurata riuscirebbe al massimo a stirare per 30 minuti alternando l'attività a momenti di riposo. Si occupa tuttora di piccoli rammendi. Considerata l'esigibilità della collaborazione dei familiari, valuto nella misura del 30% la percentuale degli impedimenti, tenendo conto del maggior impiego di tempo nel bucato e nello stiro. 5.6. Cura dei bambini e di altri membri della famiglia compresa educazione, attività comuni, compiti, ecc. importanza assegnata 10 percentuale degli impedimenti 0 percentuale di invalidità 0 % La figlia undicenne ha acquisito un buon livello di autonomia personale. La signoraRI 1 si occupa della sua educazione e riesce a presenziare anche alle riunioni scolastiche. 5.7. Diversi cura delle piante, giardinaggio, cura degli animali, attività di utilità pubblica, creazione artistica, impegno a favore di terzi, volontariato importanza assegnata 0 percentuale degli impedimenti 0 percentuale di invalidità 0 % Nulla da segnalare. Valutazione dell'assistente sociale totale delle attività 100 % percentuale di invalidità 30,5 % ■    Chi esegue i lavori, che a causa della sua invalidità, l'assicurata non può svolgere personalmente nell'economia domestica? Indicare il nome, l'indirizzo, il grado di parentela, genere dei lavori delegati, ore di lavoro per settimana e salario orario versato. · I familiari. 6.   GRADO ATTUALE DEGLI IMPEDIMENTI attività ripartizione Impedimento GRADO D'INVALIDITÀ salariata casalinga TOTALE Da quando il danno alla salute ha avuto ripercussioni sulla capacità al lavoro? OSSERVAZIONI PERSONALI DELL'ASSISTENTE SOCIALE · L'assicurata ha pianto per tutto il colloquio: è molto preoccupata per il suo stato di salute e per il fatto di non poter accedere alle cure mediche a causa dei problemi economici. " (doc. AI 23/4-6) Sulla base degli accertamenti fatti presso il domicilio dell’assicurata, dopo aver fissato gli impedimenti di ogni singola mansione casalinga, l'assistente sociale ha quindi stabilito una limitazione complessiva del 30,5%. Valutando i singoli impedimenti, con motivazioni pertinenti, la responsabile ha tenuto conto delle dichiarazioni dell’assicurata in merito alle limitazioni ad eseguire talune mansioni domestiche.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fattispecie, già è stato detto che per quanto riguarda l’aspetto medico, la valutazione del SMR ha compiutamente valutato il danno alla salute lamentato dall’assicurata sulla base di accertamenti approfonditi e completi (sul valore probatorio di rapporti medici cfr. in particolare DTF 125 V 352 consid. 3a con riferimenti, 123 V 176, 122 V 161; cfr. consid. 2.10.). Per quanto riguarda la valutazione operata dall'assistente sociale, giova anzitutto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parziale collaborazione del marito __________ e dei figli __________ (1990) e __________ (1999), che risultano peraltro giustificate anche alla luce delle suevocate risultanze mediche.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Alla luce delle considerazioni che precedono e tenuto conto di tutte le circostante concrete, questo TCA non può che ritenere corretto il grado d'invalidità dell'assicurata quale casalinga stabilito dall'UAI sulla base dell'accertamento domiciliare. 2.12.   Essendo quindi esigibile che l’assicurata sfrutti la sua residua capacità lavorativa del 20%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Ai fini della valutazione economica, nel rapporto del 28 ottobre 2011, la consulente in integrazione professionale, tenuto conto delle valutazione mediche e dei limiti funzionali illustrati ha indicato tutte le attività semplici e ripetitive senza formazione specifica nella categoria 4 delle tabelle RSS sono da considerare esigibili al 20% (doc. AI 34-2). 2.13.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i dati del 2010. 2.14.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 caso di specie, l’assicurata dopo le scuole dell’obbligo in __________ ha lavorato quale operaia presso la __________ dal 1991 al 1999. Al momento dell’insorgenza del danno alla salute ella non svolgeva alcuna attività lucrativa (doc. AI 35-2). Applicando quindi i dati statistici nazionali di cui alla Tabella TA1, riferita all’anno 2010, categoria 4 , attività semplici e ripetitive si ottiene un importo annuo di fr. 52'728.--. Il reddito da valido va poi proporzionato al 50% essendo l’assicurata salariata in questa percentuale, mentre per il restante 50% risulta casalinga. Si ottiene così un importo di fr. 26'364.--. 2.15.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concreto applicando i dati forniti dalla succitata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41.6 ore ( cfr. tabella B 9.2, pubblicata in La Vie économique, 7/8-2012, p. 90 ), esso ammonta a fr. 4'394.-- mensili oppure a fr. 52'728.--  per l'intero anno (fr. 40394.-- x 12, ritenuto che la quota di tredicesima è già compresa, cfr. STFA del 18 febbraio 1999 nella causa B., U 274/98, p. 5 consid. 3a).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2.16.   In concreto, l’amministrazione ha applicato una riduzione del 8% per attività leggere e del 10% per altri fattori di riduzione (doc. AI 37-4).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presente fattispecie la percentuale globale del 18% può essere confermata dal TCA. Questa soluzione si giustifica tanto più se si considera che per costante giurisprudenza il giudice non può scostarsi dalla valutazione dell’amministrazione senza fondati motivi. Procedendo quindi al raffronto dei redditi, partendo da un salario da invalido di fr . 52'728.-- , ritenuta un’esigibilità dal profilo medico del 20% e ammettendo la riduzione del 18%, il reddito ipotetico dell’insorgente ammonta, quindi, a fr. 8'647.39 confrontando ora questo dato con l’ammontare del reddito da valido nel medesimo anno di fr. 26'364.-- (consid. 2.15.) emerge un tasso d’invalidità del 67,2 arrotondato al 67% secondo la giurisprudenza di cui alla DTF 130 V 121 consid. 3.2. = SVR 2004 UV Nr. 11 pag. 41) . 2.17.   Viste le quote parti tra attività salariata (50%) e mansioni casalinghe (50%) stabilite dall’amministrazione nella querelata decisione, il grado di invalidità globale è così del 48,7% (50 X 67% + 50 X 30,5%) arrotondato al 49% secondo la giurisprudenza di cui alla DTF 130 V 121 consid. 3.2. = SVR 2004 UV Nr. 11 pag. 41) in applicazione del metodo misto, ossia un grado d’invalidità che permette l’erogazione di un quarto di rendita d’invalidità. 2.18.   A titolo abbondanziale, va osservato che essendo il grado di invalidità dell’insorgente superiore al 20%, ella potrebbe teoricamente avere diritto ad una riformazione professionale.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Nel caso di specie, tuttavia, una riqualifica professionale non entra in considerazione. La consulente nel rapporto del 28 ottobre 2011, in considerazione del grado d’incapacità lavorativa dell’80% e dell’iter scolastico-socio-professionale non ha ritenuto opportuno mettere in atto provvedimenti professionali (doc. AI 34-2). 2.19.   L’assicurata, ha chiesto la convocazione delle parti per un’udienza di discussione (doc. I, pag. 8, doc. VI). Con il ricorso l’assicurata ha chiesto sussidiariamente la riduzione della sanzione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(cfr.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la ricorrente non ha formulato un'esplicita richiesta di indire un pubblico dibattimento, ma ha semplicemente chiesto di essere udita da questo Tribunale. Va inoltre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TCA ha chiarito nel corso della procedura tutte le questioni necessarie alla risoluzione del caso in esame. In queste circostanze, ritenuto inoltre come la ricorrente abbia avuto ampia facoltà di esprimersi in merito, questo Tribunale rinuncia all’assunzione di ulteriori prove. 2.20.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500.--andrebbero poste a carico della ricorrente, la quale ha tuttavia chiesto di venire esonerata dal pagamento delle spese giudiziarie (cfr. doc. X, pag. 2).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art. 3 cpv. 1 della Legge sull’assistenza giudiziaria e sul patrocinio d’ufficio [LAG], nel tenore in vigore dal 1° gennaio 2011; Müller, Grundrechte in der Schweiz, 1999, p. 544). Dalle tavole processuali si evince che la ricorrente, coniugata con __________ e con due figli (__________ del 1990 e __________a del 1999), dispone, quali entrate, unicamente della rendita d’invalidità (1/4) di fr. 1'000.-- mensili, oltre che dello stipendio del marito, di fr. 3'700.-- mensili. Visto anche il preavviso favorevole del Municipio di __________ (doc. XIII1) l’indigenza deve essere ammessa. Ritenuto come il ricorso non appariva di primo acchito privo di esito favorevole, la ricorrente è per il momento esonerata dal pagamento delle spese processuali (cfr. STF I 885/06 del 20 giugno 2007), riservato l'eventuale obbligo di rimborso, qualora la situazione economica dell'assicurata dovesse più tardi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