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32.2012.5 vom 18. November 2011</w:t>
      </w:r>
    </w:p>
    <w:p>
      <w:r>
        <w:t>TI Tribunale d'appello, 2011-11-18, IT</w:t>
      </w:r>
    </w:p>
    <w:p>
      <w:r>
        <w:rPr>
          <w:b/>
        </w:rPr>
        <w:t xml:space="preserve">Quelle: </w:t>
      </w:r>
      <w:r>
        <w:t>https://mcp.opencaselaw.ch/entscheid/ti_gerichte_32.2012.5</w:t>
      </w:r>
    </w:p>
    <w:p>
      <w:r>
        <w:t>FR: TI_GERICHTE 32.2012.5 du 18 novembre 2011</w:t>
      </w:r>
    </w:p>
    <w:p>
      <w:r>
        <w:t>IT: TI_GERICHTE 32.2012.5 del 18 novembre 2011</w:t>
      </w:r>
    </w:p>
    <w:p>
      <w:pPr>
        <w:pStyle w:val="Heading2"/>
      </w:pPr>
      <w:r>
        <w:t>Regeste</w:t>
      </w:r>
    </w:p>
    <w:p>
      <w:r>
        <w:t>Rifiuto prestazioni dopo STCA di rinvio per accertamenti medici. Conferma perizia SAM e non necessità di esperire una perizia giudiziaria. Valutazione economica (reintegrabilità e confronto dei redditi da valido e invalido). Negato il diritto ad una riformazione professionale</w:t>
      </w:r>
    </w:p>
    <w:p>
      <w:pPr>
        <w:pStyle w:val="Heading2"/>
      </w:pPr>
      <w:r>
        <w:t>Erwägungen</w:t>
      </w:r>
    </w:p>
    <w:p>
      <w:r>
        <w:rPr>
          <w:b/>
        </w:rPr>
        <w:t>E. 25</w:t>
      </w:r>
    </w:p>
    <w:p>
      <w:r>
        <w:t>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in una sentenza pubblicata in DTF 136 V 376 il TF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e segg., il TF ha preso posizione sulle critiche alla giurisprudenza federale relativa al valore probatorio delle perizie dei Servizi di accertamento medico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TF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pag. 85, C 85/95 consid. 5d con riferimenti, sentenza H 355/99 del 11 aprile 2000 consid. 3b), i cui costi sono posti a carico dell'assicurazione invalidità (consid. 4.4.2). Il TF ha inoltre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vedi STF 9C_113/2012 del 14 marzo 2012, 8C_426/2011 del 29 settembre 2011, 9C_87/2011 del 1. settembre 2011 e 9C_120/2011 del 25 luglio 2011). Giova qui ricordare che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inoltre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Nell’evenienza concreta, richiamata la suesposta giurispru-denza in materia di valore probatorio di rapporti medici e in particolare le STF 9C_113/2012 del 14 marzo 2012, 8C_426/2011 del 29 settembre 2011, 9C_87/2011 del 1. settembre 2011 e 9C_120/2011 del 25 luglio 2011 per quanto riguarda le perizie raccolte secondo il vecchio standard processuale, questo Tribunale non intravede ragioni che gli impediscano di far proprie le conclusioni cui sono giunti i periti del SAM, i quali hanno compiutamente valutato le differenti affezioni di cui l’assicurato è portatore, giungendo ad una conclusione logica e priva di contraddizioni che stabilisce un rendimento non superiore ad 1/3 nella sua attività abituale di manovale edile dal luglio 2006 e un capacità lavorativa del 100% in un’attività adeguata rispettosa dei limiti funzionali posti pure dal luglio 2006. Quanto all’evoluzione nel tempo, i periti hanno precisato che “(…) dal 2006 lo stato di salute e la relativa capacità lavorativa dell’A. non sono variate. (…)” (doc. AI 79/26). In particolare, per quanto riguarda all’aspetto psichiatrico, nel rapporto 1. settembre 2008 (doc. AI 11/2-6) del dr. __________, FMH in psichiatria e psicoterapia, firmato dal dr. __________ poste le diagnosi senza ripercussioni sulla capacità lavorativa di sindrome depressiva di lieve entità e di disturbi psicosomatici, si attestava un’incapacità lavorativa (senza specificare da quando) del 20% quale muratore precisando che “(…) il paziente ha beneficiato di pochi colloqui nel corso dei due anni ossia di 8 colloqui dal 2006 (…)” (doc. AI 11/6 punto 6.5). Dal canto suo il dr. __________, FMH in psichiatria e psicoterapia, nel consulto 21 aprile 2011 (doc. AI 79/28-32) – evidenziato che “(…) nell’anamnesi personale psichiatrica l’A. è stato seguito nel 2008 dal Dr. __________ e in seguito dal Dr. __________ nell’ambito di una sindrome depressiva di lieve entità associata a disturbi psicosomatici. All’epoca non venne evidenziata una patologia a livello psichiatrico grave da risultare invalidante. L’A. riferisce che la presa a carico specialistica fu limitata a pochi colloqui. Attualmente l’A. non è più seguito a livello specialistico. Per quel che riguarda i disturbi attuali dell’A. mette in primo piano i disturbi a carico dell’apparato locomotore mentre non si esprime circa disturbi a carico della sfera psichica e mentale fatta eccezione per la menzione di un certo nervosismo legato allo stato di salute che non migliora e alla situazione finanziaria non rosea. (…)” (doc. AI 79/29) – ha concluso che “(…) non sussiste riduzione della capacità lavorativa psichiatrica (…)” (doc. AI 79/31). Non è poi possibile concludere differentemente per il solo fatto che – dopo che la dr.ssa __________, a seguito della visita del 25 maggio 2009, nel rapporto medico 23 giugno 2009 (doc. AI 21/1-3), poste le diagnosi note, aveva concluso che “(…) l’A. risulta abile in maniera completa in un’attività adatta rispettosa dei limiti sopra descritti dal 01.08.2008, così come precisato dal suo psichiatra curante Dr. __________. Non esiste una patologia psichiatrica così importante tale da determinare un influsso sulla CL. (…)” (doc. AI 21/3) – il dr. __________, FMH in chirurgia ortopedica, nella lettera 13 gennaio 2010 indirizzata all’Ufficio AI abbia rilevato che “(…) ricordo che il paziente soffre anche di una problematica lombare valutata dal dr. __________. In queste condizioni il paziente è ovviamente completamente inabile al lavoro tale muratore. Sorprendentemente è stato visto dall’AI che l’ha considerato abile nella misura dell’86% per attività leggere. Ritengo che sulla base delle patologie riscontrate il paziente non sia in grado anche in attività leggere di lavorare oltre il 40-50%. (…)” (doc. AI 37/2) e il dr. __________, primario di neurochirurgia, nel rapporto 16 dicembre 2009 indirizzato al dr. __________ (doc. AI 37/3-4), circa la valutazione dell’Ufficio AI, abbia osservato che “(…) sulla base degli elementi a nostra disposizione non crediamo che questa valutazione rispecchi la situazione clinica di questo paziente. Pensiamo che, anche in un’attività leggera, egli possa essere ritenuto abile nella misura massima del 50%. (…)” (doc. AI 37/4). Infatti, a prescindere dal fatto che entrambi gli specialisti non spiegano né documentano per quali ragioni la valutazione della dr.ssa __________ fosse errata, sta di fatto che anche il dr. __________, FMH in reumatologia, tenuto conto tra l’altro dei pareri dei dottori __________ e __________, nella perizia 19 aprile 2010 (doc. AI 43/1-9), ha concluso che “(…) giudico come lavoro adatto allo stato di salute attuale, un’attività che tiene pienamente conto della capacità funzionale e di carico residua, descritta nell’allegato. In un lavoro adatto allo stato di salute, giudico l’assicurato abile al lavoro sull’arco di una giornata lavorativa normale, di 8 – 9 ore, con un rendimento massimo del 100%, a decorrere dall’1.11.2008, ossia a scadenza della rendita d’invalidità al 100% riconosciuta all’assicurato in data 26.10.2009. Nella sua ultima attività principale come manovale in aiuto a lavori di muratura, di carpenteria, attività svolta prevalentemente in piedi fermo con necessità di sollevare anche carichi pesanti, giudico l’assicurato, a seguito dei limiti funzionali e di carico sopramenzionati, sempre a decorrere dall’1.11.2008, abile al lavoro sull’arco di una giornata lavorativa normale di 8 – 9 ore, ma con una diminuzione del rendimento di 2/3. (…)” (doc. AI 43/7). I periti del SAM, nella perizia pluridisciplinare 7 settembre 2011 (doc. AI 79/1-70), hanno poi confermato la perizia del dr. __________ ( “(…) il nostro consulente ritiene, dal punto di vista reumatologico, che la capacità lavorativa residua dell’A., come definita dal Dr. med. __________, nella sua professione originaria, non sia superiore a 1/3; e nella misura del 100% in altra attività come poi descritto al capitolo 9. (…)” ; doc. AI 79/24 ) e il dr. __________, FMH in neurologia, nel consulto 2 maggio 2011 ha concluso che “(…) possiamo dunque ritenere l’A., per quel che riguarda gli aspetti strettamente neurologici, abile al lavoro al 100%. (…)” (doc. AI 79/46 ) . Viste le risultanze su esposte, questo Tribunale deve concludere che dal luglio 2006 il rendimento nell’attività abituale di manovale edile non supera 1/3 mentre che in un’attività adeguata rispettosa dei limiti funzionali posti la capacità lavorativa è del 100%. In questo senso, la domanda volta ad ordinare una perizia giudiziaria pluridisciplinare (cfr. consid. 1.3)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w:t>
      </w:r>
    </w:p>
    <w:p>
      <w:r>
        <w:rPr>
          <w:b/>
        </w:rPr>
        <w:t>E. 29</w:t>
      </w:r>
    </w:p>
    <w:p>
      <w:r>
        <w:t>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 richiamo alla giurisprudenza di cui alla DTF 137 V 210 – a prescindere dal fatto che la stessa è posteriore all’11 marzo 2011, momento questo in cui l’Ufficio AI ha predisposto la perizia presso il SAM (cfr. doc. AI 76/1-2) – da quanto sopra esposto non è possibile concludere che gli accertamenti esperiti dall’amministrazione fossero carenti e/o lacunosi (vedi in questo senso la lettera 26 marzo 2012 dell’avv. __________ sub X). D’altra parte l’insorgente non contesta il preciso quesito posto ai periti del SAM e volto a stabilire l’evolu-zione della capacità lavorativa sin dal 2006 (cfr. le annotazioni 24 gennaio 2011 del dr. __________ sub doc. AI 70/1-2) e nemmeno ne propone dei nuovi (in argomento vedi anche le STF 9C_260/2012 del 5 giugno 2012 e 8C_888/2011, 8C_900/2011 del 7 maggio 2012). Il ricorrente non ha del resto prodotto l’ulteriore documentazione medica preannunciata a pagina 6 del ricorso laddove alla fine del punto 8 ha osservato che “(…) si rileva inoltre come nella seconda metà del 2011 il signor RI 1 (che si riserva di produrre ulteriore documentazione) abbia dovuto recarsi a più riprese in ospedale a __________ per l’aggravarsi dei disturbi alla schiena. (…)” . Alla luce del tempo trascorso nel frattempo e considerato il fatto che fosse lecito attendersi che i documenti medici preannunciati venissero prodotti “ entro un termine ragionevole”, si deve concludere che l'insorgente ha rinunciato alla produzione di ulteriori atti medici (cfr., al riguardo, STF 8C_45/2010 del 26 marzo 2010, con la quale il TF ha confermato la STCA 35.2009.86 del 10 dicembre 2009 ). 2.8.   Per quel che concerne la valutazione economica va osservato quanto segue. 2.8.1.   La consulente in integrazione, nel rapporto complementare 17 maggio 2010 (doc. AI 48/1-3) – avuto riguardo alla perizia reumatologica 19 aprile 2010 del dr. __________ e ritenuto che i limiti funzionali posti dal perito risultano simili a quelli indicati dalla dr.ssa __________ nel rapporto medico 23 giugno 2009 (cfr. doc. AI 43/1-9 e 21/1-5) – si è confermata nel suo precedente rapporto finale 16 ottobre 2009 (doc. AI 23/1-4) nel quale aveva concluso che “(…) non avendo l’A. una qualifica specifica non è possibile prendere in considerazione attività qualificate, per le quali il Signor __________ (ndr. recte: RI 1) necessiterebbe di una formazione. Traducendo questo dato nella gamma di professioni esistenti ed ancora attuabili nonostante il danno alla salute, è possibile identificare una cerchia di attività definite semplici e ripetitive: si tratta di attività che non richiedono una preparazione professionale specifica (e quindi tanto meno una formazione professionale organica) ma possono già essere esercitate dopo una semplice introduzione al posto di lavoro ed un breve periodo di “rodaggio”. Ad esempio sarebbero considerate esigibili le seguenti attività: – Addetto alla logistica (magazziniere, con l’ausilio del muletto) – Cassiere, venditore non qualificato – Autista, fattorino addetto alla distribuzione e consegna a domicilio di merce non troppo pesante (es. fiori, prodotti farmaceutici) – Operaio generico con compiti di produzione (taglio, lucidatura, fresatura, riempimento, …) di confezione, d’imballaggio, d’assem-blaggio, di controllo (verifica qualità), di stoccaggio e di spedizione. (…)” (doc. AI 23/2). Quanto alla censura del ricorrente il quale – partendo tuttavia da una diversa valutazione medica e asserita una banalizzazione delle limitazioni funzionali – ha sostenuto che “(…) non è dato a sapere quale attività asseritamente adeguata sia stata presa in considerazione dai medici del SAM e del SMR per trarre le conclusioni circa la residua capacità lavorativa dell’assicurato, ciò che configura un carente accertamento dei fatti. (…)” (doc. AI 107/9), il TCA rileva quanto segue. La questione relativa alle attività professionali concretamente realizzabili è di competenza del consulente in integrazione professionale (STF 9C_13/2007 del 31 marzo 2008, consid. 3; Meyer, Bundesgesetz über die Invalidenversicherung, in: Rechtsprechung des Bundesgericht im Sozialversicherungsrecht, 2010, ad art. 28a, pag. 348). Va poi evidenziato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Ritenuta la suenunciata giurisprudenza, questo Tribunale non ha nel caso concreto motivo per mettere in dubbio le suenunciate conclusioni della consulente che non sono, del resto, nemmeno state puntualmente contestate. 2.8.2.   Per quel che concerne il raffronto dei redditi, ricordato che secondo la giurisprudenza, per il raffronto dei redditi fa stato il momento dell’inizio dell’eventuale diritto alla rendita (DTF 129 V 222; cfr., pure, STFA I 600/01 del 26 giugno 2003, consid. 3.1) per cui nel caso concreto sono determinanti i dati del 2007 visto che l’inabilità al lavoro è iniziata nel luglio 2006 (cfr. consid. 2.3; art. 29 cpv. 1 lett. b LAI in vigore fino al 31 dicembre 2007 e art. 28 cpv. 1 lett. b LAI nel tenore in vigore dal 1. gennaio 2008), va rilevato quanto segue. 2.8.2.1.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In concreto, nel 2007 – partendo da un reddito annuo di fr. 58'773.-- indicati dall’ultimo datore di lavoro (salario mensile di fr. 4’521.-- x 13 = fr. 58'773.--; cfr. doc. AI 8/3) e aggiornati al 2007 (aumentati del 1.7% per il 2007; cfr. la tabella B10.2 relativa all’evoluzione dei salari nominali settore F costruzioni, pubblicata in La Vie économique 6-2012 pag. 95) – si ottiene un reddito da valido di fr. 59'772.14 (58'773.-- aumentati dell’1.7% = 59'772.14). 2.8.2.2.   Per quel che concerne il reddito da invalido, secondo la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137 V 73 consid. 5.2;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 DTF 135 V 297 e STF 9C_1033/2008 e 9C_1038/2008 del 15 gennaio 2010 consid. 5.5). Nel 2007, utilizzando i dati forniti dalla tabella TA1 elaborata dall'Ufficio federale di statistica, il ricorrente, svolgendo un’at-tività semplice e ripetitiva, livello di qualifica 4, avrebbe potuto realizzare un reddito annuo ipotetico da invalido pari a fr. 60'144.47 ( fr. 4'732.-- [ultimo dato disponibile valido per il 2006] aggiornati al 2007 e riportati su 41.7 ore [ cfr. tabella B 10.2 e B 9.2, pubblicata in La Vie économique, 6-2012, pag. 94-95 ] moltiplicati per 12 [ ritenuto che la quota di tredicesima è già compresa, cfr. STFA U 274/98 del 18 febbraio 1999, consid. 3a] ). Presso il suo ultimo datore di lavoro, nel 2007, l’insorgenre avrebbe percepito un salario di fr. 59'772.14 (cfr. consid. 2.8.2.1). Questo salario è inferiore a quello realizzato, nello stesso anno, in media a livello svizzero dai lavoratori del settore costruzioni (Tabella TA1 2006, p.to 45, livello di qualifica 4: fr. 5’007.-- aggiornati al 2007 riportati su 41.7 ore [ cfr. tabella B 10.2 e 9.2, pubblicata in La Vie économique, 6-2012, settore F costruzioni pag. 94-95 ] moltiplicati per 12 [ ritenuto che la quota di tredicesima è già compresa, cfr. STFA U 274/98 del 18 febbraio 1999, consid. 3a] = fr. 63'702.40 ). Conformemente alla giurisprudenza federale succitata e posto che dall’incarto non emergono indizi a favore del fatto che fosse intenzione dell’assicurato accontentarsi di un guadagno modesto – al riguardo non basta l’assunto della consulente in integrazione secondo il quale “(…) non si entra nel merito della riduzione per gap salariale in quanto il salario percepito dall’assicurato non è in linea con i salari versati normalmente nel cantone. Si può dunque ipotizzare che l’A. si sia accontentato di questo salario. (…)” (doc. AI 23/3); cfr. anche la STCA del 21 febbraio 2011 incarto 32.2010.203 – , il reddito statistico da invalido ( fr. 60'144.47 ) va dunque ridotto del 1.17% (percentuale corrispondente al gap salariale applicabile [fr. 59'772.14 .-- contro fr. 63'702.40 danno un gap del 6.17% che va ridotto dei primi 5 punti]) e si attesta pertanto a fr. 59'440.77 (fr. 60'144.47 ridotti del 1.17% = fr. 59'440.77 ). Ritenuta una capacità lavorativa del 100% in un’attività adeguata e applicata la riduzione del 10% ( nelle motivazioni alle riduzioni al reddito ipotetico da invalido sub doc. AI 84/3-4 il consulente ha stabilito una riduzione del “(…) 5% per attività leggere e del/lo 5% per altri fattori di riduzione (…)” (doc. AI 83/3), vedi anche le tabelle sub doc. AI 83/1-2, 84/1-2, 85/1-2 e 86/1-2) – va qui ricordato che il giudice non può senza valido motivo sostituire il suo apprezzamento a quello degli organi dell’assicurazione (DTF 137 V 73 consid. 5.2; 126 V 80 consid. 5b/cc) – il reddito ipotetico da invalido ammonta a fr. 53'496.69 ( fr. 59'440.77 ridotti del 10% = fr. 53'496.69 ). 2.8.2.3.   Ritenuti un reddito da valido di fr 59'772.14 (cfr. consid. 2.8.2.1) e da invalido di fr. 53'496.69 (cfr. consid. 2.8.2.2), si ottiene un grado d’invalidità del 10% ([59'772.14 - 53'496.69 ] x 100 : 59'772.14 = 10.49% arrotondato al 10% secondo la giurisprudenza di cui alla DTF 130 V 121 consid. 3.2) che non dà diritto ad una rendita d’invalidità (cfr. consid. 2.3). Dalle motivazioni della decisione si evince che l’amministra-zione ha raffrontato i redditi relativi agli anni dal 2007 al 2010, raffronti dai quali sono risultati dei tassi di invalidità del 9% e dell’11% (si veda in particolare il doc. AI 87/1-6 e 83/1-4, 84/1-4, 85/1-4 e 86/1-4). Ora, a prescindere dal fatto che l’amministrazione avrebbe dovuto aggiornare i dati economici fino al 2011 (anno in cui è stata emessa la decisione impugnata), nel caso di specie (visto lo stato di salute stazionario e considerato che non ha più ripreso alcuna attività lavorativa) questo Tribunale può esimersi dal verificare la correttezza dei raffronti dei redditi operati dall’Ufficio AI dal 2007 al 2010, come pure dal procedere al confronto dei redditi fino al momento della decisione impugnata (per un caso analogo vedi le STCA del 10 ottobre 2011 [31.2011.41], consid. 11 e del 9 giugno 2011 [32.2010.320], consid. 2.9.4). A titolo abbondanziale, per pura ipotesi di lavoro, va qui evidenziato che anche volendo applicare un gap salariale dell’8% e una riduzione del 20% (come sostenuto dal ricorrente) non si raggiungerebbe un grado d’invalidità pensionabile. Infatti in tale evenienza il reddito da invalido ammonterebbe a fr. 44'266.32 ( 60'144.47 ridotti dell’8% e del 20% = fr. 44'266.32 ); confrontando tale reddito con quello da valido di fr. 59'772.14 si ottiene un grado d’invalidità del 26% ([59'772.14 - 44'266.32] x 100 : 59'772.14 = 25.94%). 2.9.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dell’art. 17 LAI è un assicurato che, a causa del tipo e della gravità del danno alla salute subito, patirebbe senza una riformazione professionale, una perdita di guadagno pari almeno al 20% (DTF 124 V 110 consid. 2b, cfr. anche STCA del 31 ottobre 2011 [32.2011.96]). Inoltre con STF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Ne segue che a giusta ragione l’Ufficio AI ha negato il diritto a provvedimenti professionali visto che anche nella presente fattispecie – come indicato dalla consulente nel rapporto finale del 16 ottobre 2009 (doc. AI 23/1-4) confermato in quello complementare del 17 maggio 2010 (doc. AI 48/1-3) riprodotto in esteso al consid. 2.8.1 – l’insorgente gode di un ampio ventaglio di professioni possibili che non richiedono particolari misure di reintegrazione professionale. Giova qui inoltre ricordare che, avuto riguardo alla qualifica professionale, nel menzionato rapporto del 16 ottobre 2009, la consulente aveva già evidenziato che “(…) Traducendo questo dato nella gamma di professioni esistenti ed ancora attuabili nonostante il danno alla salute, è possibile identificare una cerchia di attività definite semplici e ripetitive: si tratta di attività che non richiedono una preparazione professionale specifica (e quindi tanto meno una formazione professionale organica) ma possono già essere esercitate dopo una semplice introduzione al posto di lavoro ed un breve periodo di “rodaggio”. (…)” (doc. AI 23/2). Quanto invece alla possibilità di un aiuto al collocamento ai sensi dell’art. 18 LAI, lo stesso era già stato predisposto e sospeso in attesa dell’esito della presente vertenza (cfr. doc. AI 105/1-2). 2.10.   In simili circostanze, visto tutto quanto precede, è quindi a ragione che l’Ufficio AI ha negato il diritto a prestazioni.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2.12.   L’assicurato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patrocinato da un legale, non ha apportato alcun valido elemento atto a contraddire o a mettere in dubbio tali valutazioni, in particolare quella medica. All’insorgente che, lo si ribadisce, in corso di procedura ricorsuale non ha prodotto alcuna documentazione medica idonea a contestare le valutazioni dei periti del SAM e dei medici SMR, non poteva sfuggire la necessità di documentare debitamente le allegazioni secondo le quali le valutazioni peritali (si trattava di una perizia pluridisciplinare del SAM che confermava una precedente perizia reumatologiga a cura del dr. __________) non fossero valide e/o le ragioni che rendessero verosimile una rilevante modifica del suo stato di salute subentrata prima della decisione impugnata del 18 novembre 2011. In simili condizioni, non essendo realizzato uno dei presupposti (cumulativi) l'istanza tendente all’esonero delle spese e tasse di giustizia e all’ammissione del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