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32.2012.49 vom 11. Januar 2012</w:t>
      </w:r>
    </w:p>
    <w:p>
      <w:r>
        <w:t>TI Tribunale d'appello, 2012-01-11, IT</w:t>
      </w:r>
    </w:p>
    <w:p>
      <w:r>
        <w:rPr>
          <w:b/>
        </w:rPr>
        <w:t xml:space="preserve">Quelle: </w:t>
      </w:r>
      <w:r>
        <w:t>https://mcp.opencaselaw.ch/entscheid/ti_gerichte_32.2012.49</w:t>
      </w:r>
    </w:p>
    <w:p>
      <w:r>
        <w:t>FR: TI_GERICHTE 32.2012.49 du 11 janvier 2012</w:t>
      </w:r>
    </w:p>
    <w:p>
      <w:r>
        <w:t>IT: TI_GERICHTE 32.2012.49 del 11 gennaio 2012</w:t>
      </w:r>
    </w:p>
    <w:p>
      <w:pPr>
        <w:pStyle w:val="Heading2"/>
      </w:pPr>
      <w:r>
        <w:t>Regeste</w:t>
      </w:r>
    </w:p>
    <w:p>
      <w:r>
        <w:t>A torto l'UAI ha respinto le prestazioni dell'assicurato. Dopo il confronto dei redditi il ricorrente ha diritto ad un quarto di rendita d'invalidità a far tempo dal 1° dicembre 2010</w:t>
      </w:r>
    </w:p>
    <w:p>
      <w:pPr>
        <w:pStyle w:val="Heading2"/>
      </w:pPr>
      <w:r>
        <w:t>Erwägungen</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In merito al valore probatorio delle perizie amministrative dei servizi medici di accertamento (SAM), sotto il profilo dell'indipendenza, dell'equità del processo e della parità delle armi, in una sentenza pubblicata in DTF 136 V 376 il Tribunale Federale ha specificato che la qualità formale di parte dell'organo esecutivo dell'assicurazione per l'invalidità nella procedura giudiziaria, rispettivamente la sua legittimazione a presentare ricorso in materia di diritto pubblico, non consentono di considerare come atti di parte le prove assunte dall'amministrazione nella precedente fase non contenziosa.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 in caso di divergenze l’amministrazione deve ordinare la perizia attraverso una decisione incidentale impugnabile davanti al Tribunale cantonale delle assicurazioni o al Tribunale federale amministrativo (consid. 3.4.2.6; cambiamento della giurisprudenza secondo DTF 132 V 93 ); -- alla persona assicurata spettano precedentemente i diritti di partecipazione alla procedura (ad esempio: quello di esprimersi sui quesiti peritali; consid. 3.4.2.9; cambiamento della giurisprudenza secondo DTF 133 V 446 );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In una decisione del 24 agosto 2006 concernente un caso di assicurazione per l ' invalidità (I 938/05), il TFA ha ammesso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in una sentenza 9C_142/2008 del 16 ottobre 2008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ancora rilevato che, affinché un esame medico in ambito psichiatrico sia ritenuto affidabile, esso deve adempiere diverse condizioni (D. Cattaneo, “La promozione dell'autonomia del disabile: esempi scelti dalle assicurazioni sociali”, in RDAT II-2003, pag. 571 seg., in particolare la nota 158, pag. 628-629, nella quale vengono citate alcune sentenze federali e cantonali, in particolare la DTF 127 V 294; cfr. D. Cattaneo, “Le perizie nelle assicurazioni sociali” in Le perizie giudiziarie Ed. CFPG, Lugano e Helbing &amp; Lichtenhahn, Basilea 2008 pag, 203 e segg. (249-254).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2.5.   Nella decisione impugnata l’UAI ha negato all’assicurato il diritto a prestazioni dell’assicurazione invalidità sulla base della valutazione del SMR. Nel rapporto medico del SMR del 28 settembre 2010 il Dr. __________ spec. FMH in medicina interna e il Dr. __________, spec. FMH in psichiatria e psicoterapia, hanno posto la diagnosi con influsso sulla capacità lavorativa di “ Gonartrosi bilaterale sintomatica. Sindrome da disadattamento con disturbo prevalente di altri aspetti emozionali (ICD10 F43.23)” e indicato un’inabilità lavorativa totale nell’abituale attività (inabilità del 40% dal lato reumatologico e 100% da quello psichiatrico), mentre in tutte le altre attività rispettose dei limiti funzionali vi è piena abilità lavorativa dal mese di dicembre 2009 (doc. AI 18-1). Il TCA non ha motivo per distanziarsi dalla valutazione del SMR che non è del resto stata smentita da certificati medico-specialistici attestanti delle patologie maggiormente invalidanti, in grado di influire sulla capacità lavorativa residua dell’interessato. In sede di osservazioni al progetto di decisione l’assicurato aveva fatto riferimento al rapporto del 4 marzo 2011 del Dr. __________, spec. FMH in medicina generale (doc. LaMal 11-1) e a quello dell’8 marzo 2011 del Dr. __________ del __________ (doc. AI 33-3). Il Dr. __________, peraltro non specialista in reumatologia, né in psichiatria, non ha posto una diversa diagnosi indicando una“- avanzata gonartrosi vara femoro-tibiale mediale e femoro-patellare bilaterale; - lieve sindrome ansioso-depressiva reattiva in risoluzione; - ipertensione arteriosa; - adipositas II (BMI 38.6); - cerume bilaterale; - stato dopo appendicectomia 1996, artroscopica diagnostica con meniscectomia ginocchio sx 2004 ” (doc. AI 11-4). Inoltre, il medico curante ha confermato come il paziente “ a causa della patologia alle ginocchia non possa più svolgere la sua attività originaria ”, sebbene egli possa – sempre secondo il Dr. __________ - riprendere il lavoro in misura parziale (50%) in un’attività adeguata (doc. LaMal 11-5). Per quanto riguarda lo scritto dell’8 marzo 2011 il Dr. __________ non pone alcuna diagnosi limitandosi a confermare che RI 1 “ non può più svolgere quest’attività ”. Il medico ha quindi esposto l’intenzione dell’assicurato di voler riprendere eventualmente in misura parziale il lavoro in un’attività adeguata (doc. AI 33-3). I medici del SMR, nelle annotazioni del 16 novembre 2011 riguardo ai documenti medici prodotti in sede di osservazioni, hanno rilevato che questi confermano le diagnosi note e non documentano un’evoluzione sfavorevole rispetto a quanto valutato nel rapporto del 28 settembre 2010 (doc. AI 39-1). Anche i referti del Dr. __________, FMH in medicina generale, del 20 luglio 2010 (doc. AI 14-1) e quello del Dr. __________, spec FMH in psichiatria e psicoterapia, del 21 ottobre 2010 (doc. AI 19-1), a cui il rappresentante del ricorrente ha fatto riferimento in via ricorsuale non permettono una diversa valutazione della fattispecie. Il referto del Dr. __________, medico generalista, è antecedente alla valutazione del SMR del 28 settembre 2010 e nella sostanza non si discosta da quanto diagnosticato dai periti del SMR. Inoltre il medico indica unicamente un’inabilità completa (100%) nell’ultima attività lavorativa, come d’altronde stabilito dall’amministrazione (cfr. doc. AI 14-1;18-1). Il Dr. __________ ha invece posto la diagnosi di “ Sindrome depressivo-ansioso reattiva (ICD-0: F43.2)” e indicato l’inabilità completa (100%) nell’ultima attività presso le RA 1 dal dicembre 2009. Quindi il medico curante ha ritenuto possibile il recupero della capacità lavorativa inizialmente a tempo parziale (50%) (doc. AI 19-4). Il Dr. __________ del SMR ha preso posizione su questo referto con le annotazioni del 26 ottobre 2010 ritenendo il rapporto del Dr. __________ sovrapponibile a quello del SMR (doc. AI 21-1). Giova qui ricordare un principio ripetutamente riconosciuto dalla nostra Massima Istanza, quello secondo il quale le certificazioni del medico curante - anche se specialista (cfr. STFA U 202/01 del 7 dicembre 2001, consid. 2b/bb) - hanno un valore di prova ridotto, ciò in ragione del rapporto di fiducia che lo lega al suo paziente (cfr. RAMI 2001 U 422, p. 113ss. (= AJP 1/2002, p. 83); DTF 125 V 353 consid. 3b/cc; DTF 124 I 175 consid. 4; DTF 122 V 161; RCC 1988 p. 504; R. Spira, La preuve en droit des assurances sociales, in Mélanges en l'honneur de Henri-Robert Schüpbach, Basilea 2000, p. 269s.). Il TF ha affermato che in ragione della diversità dell’incarico assunto (a scopo di trattamento anziché di perizia) in caso di lite non ci si può di regola fondare sulla posizione del medico curante, anche se specialista (cfr. STF I 1102/06 del 31 gennaio 2008; STFA I 701/05 del 5 gennaio 2007 consid. 2). Ad esempio, nella sentenza 9C_289/2007 del 29 gennaio 2008 il Tribunale federale ha sottolineato che: " (...) Par ailleurs, il y a lieu d'ajouter qu'au vu de la divergence consacrée par la jurisprudence entre un mandat de soins et un mandat d'expertise (cf. arrêt I 701/05 du 5 janvier 2007, consid. 2 et les nombreux arrêts cités, dont en particulier l'ATF 124 I 170 consid. 4 p. 175),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objectifs ayant été ignorés dans le cadre de l'expertise et qui sont suffisamment pertinents pour remettre en cause les conclusions de l'expertise. Cette hypothèse n'étant toutefois pas donnée dans le cas d'espèce, c'est à juste titre que les premiers juges se sont fondés, sans violer le droit fédéral, sur les conclusions du SMR et qu'ils ont confirmé la décision attaquée. ( ...)" Questa Corte ritiene pertanto che lo stato di salute dell’assicurato, dal profilo reumatologico e psichiatrico, sia stato dettagliatamente ed approfonditamente vagliato dal Dr. __________ e dal Dr. __________. In conclusione, rispecchiando le valutazioni del SMR i criteri di affidabilità e completezza richiesti dalla giurisprudenza (cfr. consid. 2.4.), alle stesse può essere fatto riferimento. Inoltre, richiamato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che l’assicurato è inabile al lavoro nella misura del 100% nella sua precedente attività, ma è da considerare pienamente abile in attività adeguate e rispettose dei suoi limiti funzionali dal mese di dicembre 2009. Nel rapporto del 13 maggio 2011 il Consulente in integrazione professionale ha rilevato che le RA 1 hanno creato un posto su misura all’assicurato a __________, inizialmente al 50% con possibilità di aumentare la percentuale di lavoro (doc. AI 27-3). 2.6.   Occorre ora esaminare le conseguenze del danno alla salute subìto dal ricorrente dal profilo economico. Preliminarmente va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per cui nel caso concreto sono determinanti i dati del 2010. 2.6.1.   Per quel che concerne il reddito da valido , l’UAI ha quantificato il reddito che l’assicurato avrebbe potuto percepire da sano in fr. 95'437.85 nel 2010 prendendo in considerazione le indicazioni del Sindacato __________, quelle dell’Ufficio Risorse Umane __________, nonché le distinte salariali. L’importo preso in considerazione dall’UAI è composto dal salario base di fr. 86'674.-- (cfr. schede salario da doc. AI 41-50 a 41-61, dato non contestato dalle parti), dalla garanzia per indennità di residenza di fr. 1'702.80 (fr. 141.90 x 12), il premio annuo di fr. 650.-- (non contestato), le indennità sottoposte a contributi AVS percepite nel 2009 di fr. 4'983.15 (non contestate), e il premio di fedeltà annuo di fr. 1'427.90 (non contestato) per un totale di fr. 95'437.85. Il __________, precedente rappresentante, e le RA 1, da parte loro, giungono ad un importo di fr. 95'580.35 calcolando la garanzia per indennità di residenza su 13 mensilità (141.90 x 13) (doc. AI 33-2, doc. I). In entrambi i casi, come vedremo (cfr. consid. 2.6.4), il risultato finale non cambia. 2.6.2.   Per quanto riguarda invece il reddito da invalido , contestato dal ricorrente,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Nel caso concreto utilizzando i dati forniti dalla tabella TA1 elaborata dall'Ufficio federale di statistica, il ricorrente, svolgendo nel 2010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4'901.--. Riportando questo dato su 41.6 ore ( cfr. tabella B 9.2, pubblicata in La Vie économique, 9-2011, p. 94 ), esso ammonta a fr. 5'097.04 mensili oppure a fr. 61'164.48 per l'intero anno (fr. 5'097.04 x 12, ritenuto che la quota di tredicesima è già compresa, cfr. STFA del 18 febbraio 1999 nella causa B., U 274/98, p. 5 consid. 3a). 2.6.3.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In una sentenza del 25 luglio 2005 nella causa J., I 147/05, consid. 2, il TFA ha proceduto ad una riduzione del 15% sul reddito statistico da invalido, trattandosi di un assicurato straniero, nato nel 1953 e al beneficio di un permesso di domicilio, che, a causa del danno alla salute, era stato giudicato in grado di svolgere un’attività adeguata in misura del 60%. La nostra Corte federale ha ritenuto suscettibili di incidere sul livello di reddito ancora conseguibile dall’assicurato, gli impedimenti funzionali derivanti dal danno alla salute (10%), così come il fatto di poter lavorare soltanto a tempo parziale (5%): " 2.4 Aufgrund der zu Recht nicht bestrittenen Auffassung der Gutachter des Instituts Y.________ vom 4. April 2003 ist dem Beschwerdegegner die angestammte Tätigkeit als Schweisser nicht mehr zumutbar, während körperlich leichte bis intermittierend mittelschwere adaptierte Tätigkeiten zu 60% zumutbar sind (d.h. wechselbelastende Tätigkeiten ohne Heben, Stossen und Ziehen von Lasten über 5 bis 10 kg repetitiv und vereinzelt über 15 kg, ohne Überkopftätigkeiten und ohne Tätigkeiten in gebückter Haltung mit Rotation der Wirbelsäule). Aufgrund dieser Einschränkungen sind keine triftigen Gründe ersichtlich, um von einem leidensbedingten Abzug abzusehen; dies wird von der Beschwerde führenden Verwaltung denn auch nicht bestritten. 2.5 Entgegen der Auffassung im kantonalen Entscheid ist die Nationalität hier zu vernachlässigen angesichts der Tatsache, dass die statistischen Löhne aufgrund der Einkommen der schweizerischen und der ausländischen Wohnbevölkerung erfasst werden (AHI 2002 S. 70) und der Beschwerdegegner kein Saisonnier ist, sondern über die Niederlassungsbewilligung C verfügt (Urteil S. vom 16. April 2002, I 640/00 [Zusammenfassung in HAVE 2002 S. 308]). Damit gehört der Versicherte vielmehr einer Ausländerkategorie an, für welche der monatliche Männer-Bruttolohn im Anforderungsniveau 4 sogar etwas über dem entsprechenden, nicht nach dem Merkmal der Nationalität differenzierenden Totalwert liegt (Lohnstrukturerhebung 2000 S. 47 Tabelle TA12 sowie Lohnstrukturerhebung 2002 S. 59 Tabelle TA12). Es ist denn auch dieser Totalwert die massgebende Vergleichsgrösse und nicht etwa das Einkommen der Schweizer (wie es die Vorinstanz angenommen hat), da sich Tabellenlöhne aus den Einkommen der In- und Ausländer zusammensetzen. 2.6 Die IV-Stelle führt in der Verwaltungsgerichtsbeschwerde zwar zu Recht aus, "dass Teilzeitangestellte nicht zwingend weniger als Vollzeittätige verdienen (zum Beispiel in Beschäftigungsbereichen, in denen Teilzeitarbeit Nischen auszufüllen vermag, die arbeitgeberseits stark nachgefragt und dementsprechend entlöhnt werden ...)." Jedoch wird das Invalideneinkommen hier allein aufgrund statistischer Angaben festgesetzt, so dass die statistisch erhärtete Tatsache der Lohneinbusse von teilzeitarbeitenden Männern im massgebenden Anforderungsniveau 4 (einfache und repetitive Tätigkeiten) zu berücksichtigen ist (vgl. Lohnstrukturerhebung 2000 S. 24 T8 sowie Lohnstrukturerhebung 2002 S. 28 T8), auch wenn in diesem Rahmen der prozentuale Minderverdienst nicht schematisch dem Abzug gleichzusetzen ist (vgl. BGE 126 V 79 Erw. 5b/aa). 2.7 Damit sind im Rahmen des Abzuges die leidensbedingten Einschränkungen des Versicherten (vgl. Erw. 2.4) sowie die Möglichkeit, nur noch Teilzeit arbeiten zu können (Erw. 2.6 hievor), zu berücksichtigen. Da die IV-Stelle in Verfügung und Einspracheentscheid keinen Abzug wegen Teilerwerbstätigkeit berücksichtigt hat, obwohl dies angemessen gewesen wäre, lag für das kantonale Gericht ein triftiger Grund vor, sein Ermessen an die Stelle desjenigen der Verwaltung zu setzen; die abweichende Ermessensausübung erweist sich deshalb insoweit als näher liegend (vgl. Erw. 2.3 hievor). Indessen hat die Vorinstanz zu Unrecht auch den Ausländerstatus des Beschwerdegegners berücksichtigt (Erw. 2.5 hievor). Die IV-Stelle hat jedoch die leidensbedingten Einschränkungen - angesichts der Beschwerden - mit einem Abzug von 10% vom Tabellenlohn berücksichtigt; wird auch der Tatsache Rechnung getragen, dass der Beschwerdegegner nur noch teilerwerbstätig sein kann, erscheint - gesamthaft gesehen - das Ermessen der Vorinstanz als näher liegend. Damit hatte diese genügend triftige Gründe, um vom Abzug der Verwaltung abzuweichen, so dass ein solcher in Höhe von 15% vorzunehmen ist, was zu einem Invaliditätsgrad von 52% und damit zum Anspruch auf eine halbe Invalidenrente führt." (STFA succitata) In un’altra pronunzia del 25 luglio 2005 nella causa Y., U 420/04, consid. 2 - riguardante un assicurato straniero, nato nel 1961 e al beneficio di un permesso di domicilio, totalmente abile in attività lavorative leggere da un profilo dell’impegno fisico - lo stesso TFA ha nuovamente applicato una decurtazione del 15% (“Dem Beschwerdegegner sind aus medizinischer Sicht unbestrittenermassen keine schweren Arbeiten mehr zumutbar (vgl. Erw. 2.5.1 hievor), sodass er den bisher ausgeübten Tätigkeiten nicht mehr nachgehen kann. Mit den von der SUVA verfügten 15% wird sowohl dem Verlust, Schwerarbeit leisten zu können, als auch der leidensbedingten Einschränkung, die für sich nicht sehr ausgeprägt ist, angemessen Rechnung getragen”). In una sentenza del 25 aprile 2005 nella causa R., inc. 35.2004.104, il TCA ha fornito alcune indicazioni circa le modalità secondo le quali deve essere applicata la riduzione percentuale sul reddito statistico da invalido, argomentando: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“en regard de l’âge de l’assuré et des limitations résultant de l’atteinte à sa santé”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2.6.4.   In concreto, l’amministrazione ha applicato una riduzione del 5% per contingenze particolari (doc. AI 42-4), mentre il SEV, precedente rappresentante, e le RA 1 hanno postulato la riduzione del 15% (10% per attività leggere e 5% per altri fattori) (doc. AI 33-2; doc. I). A seguito dell’osservazioni del __________ al progetto di decisione (cfr. doc. AI 33-1) l’UAI ha riesaminato la documentazione medica, con particolare riferimento all’esame della funzionalità fisica, e nella decisione impugnata non ha comunque ritenuto giustificata una riduzione per attività leggera (doc. AI 43-3). Su questo tema l’Alta Corte si è espressa nella sentenza 8C_32/2012 del 14 maggio 2012, rilevando quanto segue: " (…)</w:t>
      </w:r>
    </w:p>
    <w:p>
      <w:r>
        <w:rPr>
          <w:b/>
        </w:rPr>
        <w:t>E. 4.1</w:t>
      </w:r>
    </w:p>
    <w:p>
      <w:r>
        <w:t>Il tema di sapere se si debba procedere a una riduzione del salario statistico in considerazione di circostanze particolari (legate all'handicap della persona o ad altri fattori) è una questione di diritto liberamente riesaminabile dal Tribunale federale. Per contro, l'estensione di tale riduzione in un caso concreto costituisce una questione attinente al potere di apprezzamento e, in quanto tale, soggiace all'esame del giudice di ultima istanza solo se la giurisdizione di primo grado ha esercitato il proprio potere di apprezzamento in violazione del diritto, commettendo un eccesso positivo ("Ermessensüberschreitung") o negativo ("Ermessensunterschreitung") del proprio potere di apprezzamento oppure abusando di tale potere ("Ermessensmissbrauch"; DTF 137 V 71 consid. 5.1 pag. 72 seg.; 132 V 393 consid. 3.3 pag. 399). Qualora nella determinazione della portata della riduzione del salario statistico non sia a torto stato considerato un determinato elemento, il tribunale cantonale delle assicurazioni o il Tribunale federale devono procedere a una nuova valutazione globale della deduzione, e non già riprendere il tasso di deduzione riconosciuto dall'amministrazione o dalla precedente istanza, aumentandolo adeguatamente (sentenza 9C_728/2009 del 21 settembre 2010, in SVR 2011 IV n. 31 pag. 90 consid. 4.1.2).</w:t>
      </w:r>
    </w:p>
    <w:p>
      <w:r>
        <w:rPr>
          <w:b/>
        </w:rPr>
        <w:t>E. 4.2</w:t>
      </w:r>
    </w:p>
    <w:p>
      <w:r>
        <w:t>Contrariamente al potere di apprezzamento del Tribunale federale, quello dell'autorità giudiziaria di primo grado non è per contro limitato alla violazione del diritto (compresi l'eccesso e l'abuso del potere di apprezzamento), ma si estende ugualmente all'esame di adeguatezza della decisione amministrativa ("Angemessenheitskontrolle"). In tale contesto l'esame verte sulla questione di sapere se un'altra soluzione non sarebbe stata più opportuna rispetto a quella adottata, in un caso concreto, dall'autorità nell'ambito del proprio potere di apprezzamento e pur nel rispetto dei principi generali del diritto. A tal proposito, il giudice delle assicurazioni sociali non può, senza valido motivo, sostituire il suo apprezzamento a quello degli organi dell'assicurazione; deve piuttosto fondarsi su circostanze tali da fare apparire il proprio apprezzamento come quello maggiormente appropriato (DTF 126 V 75 consid. 6 pag. 81; DTF 137 V 71 consid. 5.2 pag. 73 seg.). Ne discende che la giurisdizione cantonale, quando è chiamata a verificare il potere di apprezzamento esercitato dall'amministrazione per fissare l'estensione della riduzione sul reddito da invalido, deve dirigere la propria attenzione sulle differenti soluzioni che si offrivano agli organi esecutivi dell'assicurazione contro gli infortuni e domandarsi se una deduzione più o meno elevata (ma comunque limitata al 25% [DTF 126 V 75]) sia maggiormente appropriata e si imponga per un valido motivo, ma senza altrimenti sostituire il proprio apprezzamento a quello dell'amministrazione (cfr. DTF 9C_280/2010 citata consid. 5.2 in fine; vedi pure sentenza 9C_273/2011 del 27 gennaio 2012 consid. 1.3) " . Alla luce dei considerandi appena citati, il TCA non condivide l’operato dell’assistente sociale che ha stabilito la sola riduzione del 5% per altri fattori di riduzione. In considerazione dei limiti funzionali constatati in sede medica, dell’età dell’assicurato (del 1953) e del fatto che è entrato alle dipendenze delle FFS nel lontano 1976 (doc. AI 27-3), questo Tribunale ritiene più corretta, nel caso di specie, una riduzione del 10%. Procedendo quindi al raffronto dei redditi, partendo da un salario da invalido di fr . 61'164.48 e ammettendo la riduzione del 10%, il reddito ipotetico dell’insorgente ammonta, quindi, a fr. 55'048.03 confrontando ora questo dato con l’ammontare del reddito da valido nel medesimo anno di fr. 95'437.85 (consid. 2.6.1.) emerge un tasso d’invalidità del 42,3% arrotondato al 42% secondo la giurisprudenza di cui alla DTF 130 V 121 consid. 3.2. = SVR 2004 UV Nr. 11 pag. 41), percentuale che dà diritto ad un quarto di rendita d’invalidità. Procedendo invece al raffronto dei redditi, partendo da un salario da invalido di fr . 61'164.48 e ammettendo la riduzione del 10%, il reddito ipotetico dell’insorgente ammonta a fr. 55'048.03 confrontando ora questo dato con l’ammontare del reddito da valido nel medesimo anno di fr. 95'580.35 (consid. 2.6.1.) emerge un tasso d’invalidità del 42,4% arrotondato al 42% secondo la giurisprudenza di cui alla DTF 130 V 121 consid. 3.2. = SVR 2004 UV Nr. 11 pag. 41), percentuale che dà diritto, anche in questo caso, ad un quarto di rendita d’invalidità. Alla luce di quanto appena esposto, il ricorrente ha diritto ad un quarto di rendita d’invalidità a far tempo dal 1° dicembre 2010. 2.7. V isto l'esito favorevole del ricorso, l'assicurato, patrocinato dalle Ferrovie Federali Svizzere (FFS), ha diritto al versamento da parte dell’Ufficio AI di fr. 1’000.-- a titolo di ripetibili. 2.8.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