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32.2012.44 vom 9. Januar 2012</w:t>
      </w:r>
    </w:p>
    <w:p>
      <w:r>
        <w:t>TI Tribunale d'appello, 2012-01-09, IT</w:t>
      </w:r>
    </w:p>
    <w:p>
      <w:r>
        <w:rPr>
          <w:b/>
        </w:rPr>
        <w:t xml:space="preserve">Quelle: </w:t>
      </w:r>
      <w:r>
        <w:t>https://mcp.opencaselaw.ch/entscheid/ti_gerichte_32.2012.44</w:t>
      </w:r>
    </w:p>
    <w:p>
      <w:r>
        <w:t>FR: TI_GERICHTE 32.2012.44 du 9 janvier 2012</w:t>
      </w:r>
    </w:p>
    <w:p>
      <w:r>
        <w:t>IT: TI_GERICHTE 32.2012.44 del 9 gennaio 2012</w:t>
      </w:r>
    </w:p>
    <w:p>
      <w:pPr>
        <w:pStyle w:val="Heading2"/>
      </w:pPr>
      <w:r>
        <w:t>Regeste</w:t>
      </w:r>
    </w:p>
    <w:p>
      <w:r>
        <w:t>Nuova domanda di prestazioni. Viste le risultanze mediche, considerata una IL del 100% in qualsiasi attività dal settembre 2008 al novembre 2009 e una CL del 100% in un'attività adeguata dal dicembre 2009, a ragione l'Ufficio AI ha negato il diritto a prestazioni</w:t>
      </w:r>
    </w:p>
    <w:p>
      <w:pPr>
        <w:pStyle w:val="Heading2"/>
      </w:pPr>
      <w:r>
        <w:t>Erwägungen</w:t>
      </w:r>
    </w:p>
    <w:p>
      <w:r>
        <w:rPr>
          <w:b/>
        </w:rPr>
        <w:t>E. 25</w:t>
      </w:r>
    </w:p>
    <w:p>
      <w:r>
        <w:t>aprile 2007; DTF 125 V 352 consid. 3a, 122 V 160 consid. 1c), bensì il suo contenuto (DTF 122 V 160 in fine con rinvii). Inoltre, in DTF 125 V 351,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Nella STF 9C_323/2009 del 14 luglio 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STF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Nella fattispecie concreta questo TCA non ha motivi per mettere in dubbio la dettagliata e convincente valutazione 20 settembre 2010 dei medici SMR dr. __________ e dr. __________ nonché le loro annotazioni 11 aprile e 16 dicembre 2011. In esse è stato debitamente tenuto conto delle affezioni di cui l’assicurato è portatore, con conclusioni logiche e prive di contraddizioni circa i diversi gradi di incapacità lavorativa in qualsiasi attività dal 1. settembre 2008 al 30 novembre 2009 e alla capacità lavorativa del 100% in un’attività adeguata rispettosa dei limiti funzionali posti dal 1. dicembre 2009. Né del resto l’insorgen-te ha prodotto documentazione medica che possa validamente mettere in dubbio la fedefacenza delle conclusioni dei medici SMR. In particolare, nel rapporto 3 marzo 2011 (doc. AI 92/1-2) – a prescindere dalla valutazione di cui all’annotazione 11 aprile 2011 del dr. __________ riprodotta in esteso al consid. 2.5 – il dr. __________ non si è espresso sulla capacità lavorativa e quanto all’assunto secondo cui “(…) parallelamente al problema di salute vi è evidentemente quello – gravissimo – socio-professionale. Il signor RI 1 non lavora ormai da oltre due anni e non dispone di una formazione professionale specifica. Non essendoci possibilità di riformazione professionale e non trovando egli finora un impiego adeguato, vive con il sostegno dell’assistenza pubblica. In tale contesto le possibilità di reinserimento professionale risultano minime, se non addirittura nulle. (…)” (doc. AI 92/1), va rilevato che il sanitario non distingue chiaramente gli aspetti medici, di sua competenza, da quelli che rientrano nei compiti del consulente in integrazione (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 Bundesgesetz über die Invalidenversicherung, in: Rechtsprechung des Bundesgerichts zum Sozialversicherungsrecht, 2010, ad art. 28a, pag. 348) ) . Giova qui inoltre rilevare che esiste un ventaglio relativamente ampio di professioni possibili che non richiedono necessariamente la messa in atto di particolari misure di reintegrazione professionale (vedi la STFA U 463/00 del</w:t>
      </w:r>
    </w:p>
    <w:p>
      <w:r>
        <w:rPr>
          <w:b/>
        </w:rPr>
        <w:t>E. 28</w:t>
      </w:r>
    </w:p>
    <w:p>
      <w:r>
        <w:t>ottobre 2003 consid. 3.3). Il TF ha così già ripetutamente statuito che esiste un mercato del lavoro sufficiente in cui realizzare la propria capacità lavorativa residua (consid. 2b non pubblicato nella DTF 119 V 347; Pratique VSI 1998 pag. 293 consid. 3b pag. 296; si veda anche la STFA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(RCC 1980 pag. 481 consid. 2 pag. 482; vedi inoltre la STFA U 329/01 del 25 febbraio 2003, consid. 4.7). Quanto alla perizia 3 marzo 2010 del dr. __________, FMH in neurologia, indirizzata all’attenzione della __________ assicurazioni (prodotta sub doc. E con il ricorso e agli atti sub doc. 20/1-12 dell’incarto Lainf), la stessa è stata considerata dai medici SMR nella valutazione del 20 settembre 2010: “(…) Valutazione neurologica del Dr. __________ in data 03.03.2010. In tale valutazione si conferma la sindrome dolorosa cronica cervico-lombare con sospetta sindrome fibromialgica, cefalee tensive ed emicraniche senza aurea, sospetta sindrome del tunnel carpale bilaterale. Il Dr. __________ descrive una incapacità lavorativa 0% in attività adatta. IL 100% in attività come pittore. (…)” (doc. AI 73/3). Anche il rapporto di degenza dal 4 ottobre al 2 novembre 2011 presso l’Ospedale __________ (doc. AI 108/2-10), firmato dalla capo clinica dr.ssa __________ e dal medico assistente dr. __________ – a prescindere dal fatto che i suddetti sanitari non si sono espressi sulla capacità lavorativa – , è stato considerato dai medici SMR e in particolare dal dr. __________ nell’annotazione 16 dicembre 2011 riprodotta in esteso al consid. 2.5). Nemmeno avuto riguardo all’esistenza di una curatela, oltretutto volontaria (cfr. doc. AI 81/3-5), è possibile concludere differentemente. Giova qui ricordare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questo senso, viste le chiare risultanze mediche qui ribadite e quelle esposte al consid. 2.5, la domanda di inviare il ricorrente al Centro di __________ o altre strutture simili per verificare la di lui reale capacità lavorativa (cfr. consid. 2.2), va respinta. 2.8.   Per quanto concerne la valutazione economica – ricordato che secondo la giurisprudenza, per il raffronto dei redditi fa stato il momento dell’inizio dell’eventuale diritto alla rendita (DTF 129 V 222; cfr., pure, STFA I 600/01 del 26 giugno 2003, consid. 3.1) per cui nel caso concreto, ritenuti i periodi di incapacità lavorativa (cfr. consid. 2.5) e vista la nuova domanda del settembre 2009, sono determinanti i dati del 2010 in applicazione degli articoli 28 cpv. 1 lett. b e 29 cpv. 1 LAI – va rilevato quanto segue. Questo Tribunale concorda innanzitutto con l’Ufficio AI che – visto che dopo la prima domanda di prestazioni del marzo 2001 ha proceduto ad un cambio di attività in quanto il danno alla salute non gli permetteva più di esercitare a tempo pieno quale pittore/imbianchino (cfr. doc. AI 10/11-14, 20/1, 20/2 e 22/1.2) e considerato che nel 2007 ha ripreso l’attività presso un impresa di pittura e pulizia stabili (doc. AI 70/1-6) – quale reddito da valido va considerato quello di pittore imbianchino. Questo assunto non è stato peraltro contestato dall’insorgen-te (cfr. consid. 1.7). In concreto, nel 2010 – partendo dal salario mensile di fr. 6'000.-- del 2007 attestato dalla ____________________ Sagl per un lavoro a tempo pieno e prima dei periodi di assenza per infortunio e malattia indicati negli anni dal 2008 al 2010 (doc. AI 70/3 punti 2.12. e 2.14) – si ottiene un reddito da valido di fr. 75'433.16 ( fr. 6'286.09 [salario mensile del 2007 di fr. 6'000.- aggiornato al 2010 aumentandolo del 2% per il 2008 e il 2009 e dello 0.7% per il 2010; cfr. la tabella B10.2 relativa all’evoluzione dei salari nominali settore F costruzioni, pubblicata in La Vie économique 6-2012 pag. 95)] moltiplicati per 12 = fr. 75'433.08 ) . Nel 2010, utilizzando i dati forniti dalla tabella TA1 elaborata dall'Ufficio federale di statistica (circa l’applicabilità della tabella TA1 vedi SVR 2007 UV nr. 17 e la STFA I 222/04 del 5 settembre 2006), il ricorrente, svolgendo un’attività semplice e ripetitiva, livello di qualifica 4, avrebbe potuto realizzare un reddito annuo ipotetico da invalido pari a fr. 61'164.48 ( fr. 4'901.-- riportati su 41.6 ore [ cfr. tabella B 10.2 e B 9.2, pubblicata in La Vie économique, 6-2012, pag. 94 ] moltiplicati per 12 [ ritenuto che la quota di tredicesima è già compresa, cfr. STFA U 274/98 del 18 febbraio 1999, consid. 3a] = fr. 61'164.48 ). Considerata una capacità lavorativa del 100% in un’attività adeguata e applicata la riduzione del 15% ( nelle motivazioni alle riduzioni al reddito ipotetico da invalido il consulente ha stabilito una riduzione del “(…) 5% per attività leggere e del/lo 10% per altri fattori di riduzione (…)” (doc. 122), vedi anche la tabella 21.04.2011 pure sub doc. 122) – va qui ricordato che il giudice non può senza valido motivo sostituire il suo apprezzamento a quello degli organi dell’assicurazione (DTF 137 V 73 consid. 5.2; 126 V 80 consid. 5b/cc) – il reddito ipotetico da invalido ammonta a fr. 51'989.80 ( fr. 61'164.48 ridotti del 15% = fr. 51'989.80 ). Ritenuti un reddito da valido di fr 75'433.16 e da invalido di fr. 51'989.80, si ottiene un grado d’invalidità del 31% ([75'433.16 - 51'989.80 ] x 100 : 75'433.16 = 31.07% arrotondato al 31% secondo la giurisprudenza di cui alla DTF 130 V 121 consid. 3.2) che non dà diritto ad una rendita d’invalidità (cfr. consid. 2.3). Allo stesso risultato, grado d’invalidità non pensionabile, è giunto l’Ufficio AI anche dopo la correzione proposta con la risposta di causa in merito alle quale l’insorgente, pur avendone avuto la possibilità, non ha eccepito alcunché (cfr. consid. 1.6. e 1.7). Al riguardo questo Tribunale si limita ad osservare che l’am-ministrazione per il calcolo del reddito da valido ha considerato quello statistico allorquando in base alla giurisprudenza federale il reddito da valido dev’essere determinato il più concretamente possibile e che di regola ci si fonderà sull’ultimo reddito che la persona assicurata ha conseguito prima del danno alla salute, se del caso adeguato al rincaro e all’evoluzione reale dei salari (STF 9C_29/2012 del 27 giugno 2012 consid. 3.2; DTF 129 V 222 consid. 4.3.1. pag. 224 e riferimenti; per un caso in cui il TF ha applicato i valori statistici vedi la STF 9C_485/2011 del 18 giugno 2012), o comunque sul salario che potrebbe essere conseguito in un posto di lavoro identico nella stessa azienda o in un’azienda simile. Quest’aspetto non merita qui di essere ulteriormente approfondito visto che nei due casi il grado d’invalidità non raggiunge la soglia pensionabile del 40% (cfr. consid. 2.3). 2.9.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dell’art. 17 LAI è un assicurato che, a causa del tipo e della gravità del danno alla salute subito, patirebbe senza una riformazione professionale, una perdita di guadagno pari almeno al 20% (DTF 124 V 110 consid. 2b, cfr. anche STCA del 31 ottobre 2011 [32.2011.96]). Inoltre con STF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Ne segue che a giusta ragione l’Ufficio AI ha negato il diritto a provvedimenti professionali visto che anche nella presente fattispecie – come indicato dal consulente nella valutazione dell’11 maggio 2011 (doc. AI 95/1-2): “(…) i limiti invalidanti in sede medica permettono d’individuare una gamma di attività sia nel settore secondario (operaio generico nell’industria farmaceutica, alimentare, meccanica con mansioni d’assem-blaggio, produzione, stampa, rifinitura, controllo/sorveglianza della qualità, …) che nel settore terziario come per esempio venditore/cassiera non qualificato. (…)” (doc. AI 95/2) – l’insorgente gode di un ampio ventaglio di professioni possibili che non richiedono particolari misure di reintegrazione professionale. Quanto invece alla possibilità di un aiuto al collocamento ai sensi dell’art. 18 LAI, il consulente ha rilevato che “(…) pur presentando un grado d’invalidità superiore al 20%, considerando il grado di incapacità lavorativa pari allo 0% in attività adeguata e l’iter scolastico-socio-professionale dell’assicura-to, si ritiene opportuno metter in atto un aiuto al collocamento. (…)” (doc. AI 95/2). 2.10.   In simili circostanze, visto tutto quanto precede, è quindi a ragione che l’Ufficio AI ha negato il diritto a prestazioni.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2.12.   L’assicurato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permesso di accertare con la dovuta chiarezza il grado d’invalidità e l’insorgente, anche se patrocinato da un legale, non ha apportato alcun valido elemento atto a contraddire o a mettere in dubbio tali valutazioni, in particolare quella medica. All’insorgente che, lo si ribadisce, in corso di procedura ricorsuale non ha prodotto alcuna documentazione medica idonea a contestare le valutazioni dei medici SMR, non poteva sfuggire la necessità di documentare debitamente le allegazioni secondo le quali le valutazioni mediche (si trattava delle risultanze di una valutazione bidisciplinare a cura del SMR e delle ulteriori annotazioni dei suoi medici predisposti dopo che con STCA di rinvio questa Corte aveva ingiunto all’Ufficio AI di entrare nel merito e di pronunciarsi sulla nuova domanda di prestazioni) non fossero valide e/o le ragioni che rendessero verosimile una rilevante modifica del suo stato di salute subentrata prima della decisione impugnata del 9 gennaio 2012. In simili condizioni, non essendo realizzato uno dei presupposti (cumulativi) l'istanza tendente all’esonero delle spese e tasse di giustizia e all’ammissione del gratuito patrocinio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