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32.2012.3 vom 29. November 2011</w:t>
      </w:r>
    </w:p>
    <w:p>
      <w:r>
        <w:t>TI Tribunale d'appello, 2011-11-29, IT</w:t>
      </w:r>
    </w:p>
    <w:p>
      <w:r>
        <w:rPr>
          <w:b/>
        </w:rPr>
        <w:t xml:space="preserve">Quelle: </w:t>
      </w:r>
      <w:r>
        <w:t>https://mcp.opencaselaw.ch/entscheid/ti_gerichte_32.2012.3</w:t>
      </w:r>
    </w:p>
    <w:p>
      <w:r>
        <w:t>FR: TI_GERICHTE 32.2012.3 du 29 novembre 2011</w:t>
      </w:r>
    </w:p>
    <w:p>
      <w:r>
        <w:t>IT: TI_GERICHTE 32.2012.3 del 29 novembre 2011</w:t>
      </w:r>
    </w:p>
    <w:p>
      <w:pPr>
        <w:pStyle w:val="Heading2"/>
      </w:pPr>
      <w:r>
        <w:t>Regeste</w:t>
      </w:r>
    </w:p>
    <w:p>
      <w:r>
        <w:t>Ordine di restituzione della differenza fra 3/4 di rendita versati e 1/4 di rendita di diritto. La revisione non era data,poiché non v'erano elementi sufficienti.La riconsiderazione non era data,poiché non avendo l'UAI ancora deciso nel merito del D,la decisione dei 3/4 non era manifestamente errata</w:t>
      </w:r>
    </w:p>
    <w:p>
      <w:pPr>
        <w:pStyle w:val="Heading2"/>
      </w:pPr>
      <w:r>
        <w:t>Erwägungen</w:t>
      </w:r>
    </w:p>
    <w:p>
      <w:r>
        <w:rPr>
          <w:b/>
        </w:rPr>
        <w:t>E. 27</w:t>
      </w:r>
    </w:p>
    <w:p>
      <w:r>
        <w:t>novembre 2011, ma, come ben osservato dall'amministrazione, alla decisione formale che quest'ultima emanerà prossimamente, nel merito, ossia alla determinazione del diritto dell'assicurato ad ottenere prestazioni dall'assicurazione invalidità dal 1° marzo 2010 a dipendenza del risultato degli accertamenti effettuati su ordine dell'Alta Corte. In questo senso, la richiesta di sospensione della causa per i motivi addotti dal ricorrente non può essere accolta. 4.   Dapprima, vanno rammentati i fondamenti giuridici dell'ordine di restituzione. L'art. 25 cpv. 1 LPGA stabilisce che le prestazioni indebitamente riscosse devono essere restituite. La restituzione non deve essere chiesta se l ' interessato era in buona fede e verrebbe a trovarsi in gravi difficoltà. Il diritto di esigere la restituzione si estingue dopo un anno a decorrere dal momento in cui l ' istituto di assicurazione ha avuto conoscenza del fatto, ma al più tardi cinque anni dopo il versamento della prestazione. Se il credito deriva da un atto punibile per il quale il diritto penale prevede un termine di prescrizione più lungo, quest'ultimo è determinante (art. 25 cpv. 2 LPGA). L' art. 3 cpv. 1 OPGA prevede che l ' ammontare della restituzione è stabilito mediante decisione.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 2b).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Dalla riconsiderazione (o riesame) va dunque distinta la revisione processuale delle decisioni amministrative. L ' allora TFA (dal 1° gennaio 2007: Tribunale federale) ha stabilito che, in ambito di restituzione delle prestazioni, i principi applicabili al diritto precedentemente in vigore sono ancora attuali (STFA K 147/03 del 12 marzo 2004 = DTF 130 V 318).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Kieser, in ATSG-Kommentar, 2a ed., Zurigo 2009, a pag. 682, n. 47 ad art. 53, a proposito dell'art. 53 cpv. 3 LPGA, precisa: " b) Die in art. 53 Abs. 3 ATSG kodifizierte Regelung galt bereits nach der bisherigen Rechtsprechung (einlässliche Darstellung derselben Schlauri , 176 ff.; vgl. zudem SVR 2005 EL Nr. 3, P 7/02, E. 3.2), welche ihre Gültigkeit auch unter Berücksichtigung von Art 53 Abs. 3 ATSG beibehält. Insbesondere steht es dem Versicherungsträger frei, während des laufenden Beschwerdeverfahrens ohne Beachtung der besonderen Wiedererwägungsvoraussetzungen (insbesondere ohne Annahme einer zweifellosen Unrichtigkeit) auf den Entscheid zurückzukommen (vgl. BGE 107 V 192). Beinhaltet eine solche lite pendente erlassene Verfügung eine Schlechterstellung, stellt die entsprechende Verfügung lediglich einen Antrag an das Gericht dar, und es bleibt der Partei die Möglichkeit offen (auf welche sie hinzuweisen ist), das Rechtsmittel zurückzuziehen (vgl. BGE 127 V 234; zur Kritik von Schlauri , 173 ff.; an diesem Entscheid vgl. SVR 2005 EL Nr. 3, P 7/02, E. 3.3). Entspricht die Wiedererwägung sonst nicht dem im Beschwerdeverfahren gestellten Antrag, kommt sie bloss einem Antrag an das Gericht gleich (vgl. ZAK 1992 117). Im Übrigen wird bei einer entsprechenden Wiedererwägung das Beschwerdeverfahren gegenstandlos (vgl. ATSG-Kommentar, Art. 61 N 87). Allerdings ist es nach der Rechtsprechung dem Versicherungsträger nicht benommen, eine im Gerichtsverfahren vorgenommene Wiedererwägung zu widerrufen (vgl. SVR 2001 IV Nr. 20).”.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5 .   In concreto, a l momento dell'emanazione dell'ordine di restituzione, l'istruttoria amministrativa ordinata dal Tribunale federale con sentenza del 10 novembre 2011 non era ancora ultimata e quindi l'Ufficio AI non si era ancora potuto determinare con certezza circa il diritto dell'assicurato ad una rendita d'invalidità dal 1° marzo 2010 eventualmente superiore ad un quarto. Pertanto, non si può ammettere che vi siano elementi tali da legittimare una revisione della decisione del 5 agosto 2011. La decisione qui impugnata dell'UAI appare prematura ed è vincolata agli accertamenti che devono essere posti in atto a seguito del rinvio del TF. Le condizioni dell'art. 53 cpv. 1 LPGA non sono adempiute. 6.   L 'a mministrazione può riconsiderare una decisione passata formalmente in giudicato e sulla quale un'autorità giudiziaria non si è pronunciata nel merito, a condizione che sia senza dubbio errata e la sua rettifica rivesta un ' 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L' irregolarità deve essere manifesta. Il Tribunale federale ha precisato (STF 8C_ 883/2008 del 31 marzo 2009, consid. 4.1.2): " In particolare, non si può parlare di un ' inesattezza manifesta se l ' assegnazione della prestazione dipende dall ' 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 Secondo la giurisprudenza del Tribunale federale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Occorre inoltre precisare che il Tribunale non può obbligare l'amministrazione ad entrare nel merito di una tale richiesta, come è del resto espressamente previsto all'art. 53 LPGA, poiché non esiste un diritto alla riconsiderazione di una decisione cresciuta in giudicato (STF 8C_334/2008 del 26 novembre 2008, consid. 3.1; STF U 403/06 del 9 ottobre 2007, consid. 8; DTF 133 V 50 consid. 4.1 pag. 52, 127 V 466 consid. 2c; 106 V 78 consid. 2 pag. 79). Secondo la dottrina tuttavia la decisione di procedere o meno in tal senso deve rispettare il principio dell'uguaglianza di trattamento e non essere arbitraria ( Ueli Kieser , ATSG-Kommentar, Zurigo/Basilea/Ginevra 2003, n. 22 all'art. 53). L'amministrazione non è tenuta a riconsiderare una decisione, poiché essa ha unicamente la facoltà di procedere a un simile riesame nella misura in cui sono soddisfatte determinate condizioni; per contro né l'assicurato né il giudice possono obbligarla a un tale passo (STF 8C_257/2011 del 14 giugno 2011, consid. 4; STF 8C_302/2007 del 4 agosto 2008, consid. 3; STF H 223/06 del 17 gennaio 2008, consid. 5; citata STF U 403/06, consid. 8; STF I 309/06 del 20 aprile 2007, consid. 3; DTF 133 V 50 consid. 4.1). Nella menzionata DTF 133 V 50, al considerando 4.2.2 il Tribunale federale ha pure statuito che una decisione con cui l'amministrazione rifiuta di entrare nel merito di una domanda di riesame non è impugnabile tramite la procedura di opposizione, in quanto una domanda di riconsiderazione può essere in ogni caso ripresentata in ogni tempo (citata STF U 403/06, consid.8). 7.   Nella fattispecie, a questo stadio, vanno negati i presupposti per riconsiderare la decisione di assegnazione di una rendita di tre quarti (decisione del 5 agosto 2011), alla base della decisione di restituzione di CHF 15'988,00. In effetti, come esposto, l'UAI non si è ancora espresso sulla determinazione del grado AI dell'assicurato dal 1° marzo 2010 a seguito del rinvio del TF. Ciò che è certo, ad oggi, è che dal 1° marzo 2010 l'assicurato ha diritto (almeno) ad un quarto di rendita. Se poi tale diritto sarà in realtà superiore, ad ora non è dato a sapere, in assenza della decisione dell'UAI che scaturirà terminate le verifiche imposte. In queste circostanze, decidere, nel novembre 2011, che v'è stato un indebito versamento all'assicurato di CHF 15'988,00 è prematuro, non avendo ancora l'Ufficio AI tutti i parametri di calcolo a disposizione per giungere a tale (eventuale) conclusione. Non è ancora accertato che la decisione fosse manifestamente errata. 8   Alla luce delle argomentazioni esposte, l'Ufficio assicurazione invalidità non era legittimato ad emettere nel novembre 2011 una decisione di restituzione. Ciò potrà avvenire semmai in futuro dopo gli accertamenti imposti ed a seguito di nuova decisione – se sfavorevole a chi ricorre – cresciuta in giudicato. La decisione impugnata deve dunque essere annullata ed il ricorso accolto. Di conseguenza, diventa priva di oggetto la richiesta dell'amministrazione di concedere l'effetto sospensivo alla presente procedura nell'attesa che essa si determini, nel merito, sul diritto del ricorrente ad una rendita d'invalidità dal 1° marzo 2010 in poi. Stante l'esito favorevole del ricorso seppure per altri motivi da quelli invocati, rappresentato, l'assicurato ha diritto al versamento di ripetibili da parte dell'Ufficio AI (art. 61 lett. g LPGA). 9   Secondo l'art. 29 cpv. 2 Lptca e l'art. 69 cpv. 1bis LAI, la procedura di ricorso in caso di controversie relative all'assegnazione o al rifiuto di prestazioni AI dinanzi al Tribunale cantonale delle assicurazioni è soggetta a spese. L'entità delle spese è determinata fra CHF 200,00 e CHF 1'000,00 in funzione delle spese di procedura e senza riguardo al valore litigioso (DTF 133 V 402; STF 9C_156/2009 del 7 aprile 2009; STF 8C_393/2008 del 24 settembre 2008). Le spese per complessivi CHF 500,00 sono poste a carico dell'Ufficio AI, soccombente.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