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32.2012.29 vom 10. Dezember 2011</w:t>
      </w:r>
    </w:p>
    <w:p>
      <w:r>
        <w:t>TI Tribunale d'appello, 2011-12-10, IT</w:t>
      </w:r>
    </w:p>
    <w:p>
      <w:r>
        <w:rPr>
          <w:b/>
        </w:rPr>
        <w:t xml:space="preserve">Quelle: </w:t>
      </w:r>
      <w:r>
        <w:t>https://mcp.opencaselaw.ch/entscheid/ti_gerichte_32.2012.29</w:t>
      </w:r>
    </w:p>
    <w:p>
      <w:r>
        <w:t>FR: TI_GERICHTE 32.2012.29 du 10 décembre 2011</w:t>
      </w:r>
    </w:p>
    <w:p>
      <w:r>
        <w:t>IT: TI_GERICHTE 32.2012.29 del 10 dicembre 2011</w:t>
      </w:r>
    </w:p>
    <w:p>
      <w:pPr>
        <w:pStyle w:val="Heading2"/>
      </w:pPr>
      <w:r>
        <w:t>Regeste</w:t>
      </w:r>
    </w:p>
    <w:p>
      <w:r>
        <w:t>UAI ha a giusta ragione attribuito all'assicurato una rendita di invalidità limitata nel tempo,poi soppressa alla luce di un grado di invalidità inferiore al 40%</w:t>
      </w:r>
    </w:p>
    <w:p>
      <w:pPr>
        <w:pStyle w:val="Heading2"/>
      </w:pPr>
      <w:r>
        <w:t>Erwägungen</w:t>
      </w:r>
    </w:p>
    <w:p>
      <w:r>
        <w:rPr>
          <w:b/>
        </w:rPr>
        <w:t>E. 10</w:t>
      </w:r>
    </w:p>
    <w:p>
      <w:r>
        <w:t>dicembre 2011 – quando si ritenga che fatti verificatisi ulteriormente possono imporsi quali elementi di accertamento retrospettivo della situazione anteriore alla decisione resa (SVR 2003 IV n. 25 consid. 1.2; DTF 130 V 140 e 129 V 4 consid. 1.2, 127 V 467 consid. 1, 121 V 366 consid. 1b). In concreto, il possibile peggioramento dello stato di salute dell’interessato conseguente all’intervento chirurgico citato è, in ogni caso, come indicato dall’amministrazione, successivo alla decisione impugnata e non può quindi essere preso in considerazione (doc. VIII).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spetterà quindi all’assicurato, se del caso, inoltrare un’ulteriore domanda di rendita ed allegare la pertinente nonché completa documentazione relativa ad eventuali nuovi o maggiori disturbi che potrebbero influire sul suo grado di inabilità. Infine, a proposito della critica ricorsuale relativa al fatto che “la valutazione SAM non è realistica, soprattutto se confrontata alla valutazione del CAP di __________, i quali hanno valutato il mio stato di salute basandosi soprattutto sul rendimento effettivo” (cfr. doc. I), nelle annotazioni del 10 novembre 2011, il dr. __________ del SMR ha osservato che “ le due percentuali non sono discordanti: quella del SAM è prettamente medica e si basa su esigibilità teorica mentre quella del CAP di __________ (sull’arco di un mese in questo caso) è pratica e considera il reale rendimento lavorativo”, concludendo che “dal punto di vista medico non posso che considerare la limitazione del SAM maggiormente vincolante” (doc. 100-1). Il TCA condivide queste considerazioni del medico del SMR, che del resto, confermano quanto già stabilito da questo Tribunale nella sentenza 35.2010.65 del 7 marzo 2011, cresciuta incontestata in giudicato, nella quale questa Corte ha, in particolare, rilevato quanto segue: " (…) Il TCA non ignora che, al termine del periodo di osservazione presso il Centro d’accertamento professionale di __________, l’insorgente è stato ritenuto in grado di esercitare delle attività leggere, semplici, ripetitive e piuttosto sedentarie, con però una riduzione del rendimento del 30-40% (cfr. doc. 181, p. 8). Tuttavia, esso rileva che, secondo la giurisprudenza federale, i dati medici consentono un apprezzamento più oggettivo del caso e hanno di principio la priorità sulle constatazioni fatte durante uno stage di osservazione professionale, le quali sono suscettibili di essere influenzate da elementi soggettivi legati al comportamento della persona assicurata durante lo stage (cfr. STF 9C_854/2010 del 30 dicembre 2010 consid. 3.2 e STFA I 762/02 del 6 maggio 2003 consid. 2). Ora, occorre rilevare che, proprio durante lo stesso periodo,  è stato dichiarato, da un profilo medico-teorico, completamente abile in attività rispettose di determinati limiti funzionali (non esigibili attività con necessità di manipolazione con l’arto superiore sinistro, specialmente sopra l’orizzontale - cfr. doc. 181, p. 4).” Alla luce di quanto sopra esposto e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il TCA ritiene dimostrato, con il grado della verosimiglianza preponderante valido nell'ambito delle assicurazioni sociali (DTF 126 V 360; DTF 125 V 195 consid. 2 e i riferimenti ivi citati, 115 V 142 consid. 8b, 113 V 323 consid. 2a, 112 V 32 consid. 1c, 111 V 188 consid. 2b), che, a partire dal mese di gennaio 2010 e per lo meno fino al momento di emanazione della decisione impugnata, che delimita il potere cognitivo del giudice, l'assicurato presenta, come stabilito dai medici del SAM, una capacità lavorativa del 70% in attività medio-pesanti e una capacità lavorativa dell’80% in attività leggere adeguate, rispettose delle sue limitazioni funzionali. In simili condizioni non è necessario procedere a ulteriori atti istruttori, segnatamente alla perizia medica postulata dal ricorrente (cfr. doc. VI). Al riguardo, giova osservare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U 349/06 dell’11 luglio 2007 consid. 6; STFA dell'11 dicembre 2003 nella causa R., U 239/02; STFA del 31 gennaio 2003 nella causa V., H 5/02; STFA del 5 marzo 2003 nella causa G., H 411/01; SVR 2003 IV Nr. 1 pag.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Zurigo 1998, p. 39 e p. 117), senza che ciò costituisca una lesione del diritto di essere sentito sancito dall'art. 29 cpv. 2 Cost. (DTF 124 V 94 consid. 4b, 122 V 162 consid. 1d e sentenza ivi citata). 2.12.   L’interessato ha rilevato che “nella mia situazione, non vedo bene come trovare un’occupazione adeguata, se lo stato di salute non mi consente di assumere un’altra occupazione, sempre ammesso che riesco a trovarla nell’attuale mercato del lavoro e con la mia carenza di formazione” (doc. I). Al riguardo, il TCA sottolinea innanzitutto che, con riferimento all’aspetto medico, nel referto peritale del 29 agosto 2011, i medici del SAM hanno espressamente indicato che l’assicurato può svolgere al 70% attività medio-pesanti e nella misura dell’80% delle attività leggere adeguate, rispettose delle seguenti limitazioni funzionali: “evitare movimenti ripetitivi con gli arti superiori attorno o sopra l’orizzontale e particolarmente in modo rigoroso i lavori sopra la testa, evitare movimenti ripetitivi di flessione-estensione o rotazione del tronco nonché posizioni statiche eccessivamente prolungate senza la possibilità di sgranchirsi indicativamente una volta all’ora per qualche minuto” (cfr. doc. 92-22). In secondo luogo, va rilevato che,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(cfr. A. Rumo-Jungo, Rechtsprechung des Bundesgerichts zum Sozialversicherungsrecht, Bundesgesetz über die Unfallversicherung, Zurigo 2003, p. 130 e giurisprudenza ivi menzionata; P. Omlin, Die Invalidität in der obligatorischen Unfallversicherung, Friborgo 1995, p. 205s., secondo cui: “Bei einem Wechsel muss die neue Tätigkeit, die Invalidentätigkeit, der Eigenart des Versicherten angepasst sein und hat den körperlichen und geistigen Fähigkeiten sowie den Behinderungen des Versicherten zu entsprechen”; A.-C. Doudin, La rente d’invalidité dans l’assurance-accidents selon la jurisprudence du Tribunal fédéral des assurances, in SZS 1990, p 255s.). In questo ordine di idee, il TFA ha stabilito che - trattandosi di lavoratori non qualificati esercitanti, prima di divenire invalidi, un’attività manuale - entrano generalmente in linea di conto soltanto dei lavori di manovalanza oppure altre attività fisiche (P. Omlin,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(cfr. SVR 2002 UV 15, p. 49 consid. 3b; RCC 1991, p. 332 consid. 3b, STFA U 871/02 del 20 aprile 2004, consid. 3). Anche in questo ambito, vi sono aperte delle opportunità di lavoro per lavoratori ausiliari, così come è il caso per il settore delle prestazioni di servizio. È inoltre utile rilevare che l’Alta Corte in una sentenza U 329/01 e U 330/01 del 25 febbraio 2003, relativamente al mercato del lavoro equilibrato, ha osservato: "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Plädoyer 1995 no. 1 pag. 67 consid. 5c). In proposito va rilevato che il mercato del lavoro accessibile ai lavoratori non qualificati - come nel caso di specie - è in generale limitato a dei lavori di manodopera o ad altre attività fisiche (RCC 1989 pag. 331 consid. 4a). Tuttavia nell'industria e nell'artigianato le attività fisicamente pesanti vengono eseguite sempre più spesso tramite delle macchine, motivo per cui aumentano le attività di controllo e sorveglianza (SVR 2002 no. U 15 pag. 49 consid. 3b; RCC 1991 pag. 332 consid. 3b).” (STFA succitata, consid. 4.5.) Il TFA, in un’ulteriore sentenza del 26 maggio 2003, pubblicata in SVR 2003 IV Nr. 35, ha precisato che qualora la persona assicurata sia d’età avanzata, questo aspetto deve essere considerato nell’esame della questione se essa potrebbe reperire un’occupazione in un mercato del lavoro equilibrato. Nel caso di specie è stato ritenuto che a torto era stata soppressa una rendita intera di invalidità nei confronti di un’assicurata a cui mancavano pochi mesi all’età di pensionamento di vecchiaia. Infatti, benché teoricamente dal profilo medico esistessero delle occupazioni adeguate alle limitazioni funzionali presentate dall’assicurata, nel periodo precedente al pensionamento la stessa non poteva più trovare un impiego nel mercato del lavoro equilibrato. Tutto ben considerato, a mente di questa Corte, si deve ritenere che le opportunità di reperire un'attività che sia conciliabile con i disturbi accusati dall'assicurato (si tratterebbe di un’attività leggera, per lo più sedentaria, che consenta di risparmiare gli arti superiori; circa la possibilità di reperire un’attività con delle simili caratteristiche sul mercato del lavoro, cfr. STFA inedita del 12.11.1996 nella causa I.; STCA 35.1997.23 dell’11.9.2000 confermata dal TFA con sentenza U 449/00 dell’8.5.2002; STFA U 240/99 del 7.8.2001, parz. pubblicata in RAMI 2001 U 439, p. 347ss.; STFA U 329/01 e U 330/01 del 25.2.2003; STFA I 356/04 del 12 maggio 2005, consid. 2.2 e 3.1; STFA I 27/06 e U 18/06 del 24.8.2006, nonché STF 8C_1005/2008 del 17 aprile 2009 consid. 2.3.2 e 2.4 ) e con le sue condizioni personali (53 anni), non devono essere considerate irrealistiche o eccezionali ai sensi della giurisprudenza federale (RCC 1991, p. 332 consid. 3c). Da notare che il concetto di mercato del lavoro equilibrato non sottintende soltanto un certo equilibrio fra l’offerta e la domanda in materia di manodopera, ma anche un mercato del lavoro che presenta un ventaglio di attività le più diverse, e precisamente per ciò che concerne le condizioni professionali e intellettuali richieste, così come la prestazione fisica (RCC 1991, p. 332 consid. 3b). Il TCA non ignora le difficoltà che presenta il mercato del lavoro svizzero. Tuttavia, ciò rappresenta un elemento estraneo all’invalidità. In effetti, secondo dottrina e giurisprudenza, l’assicurato deve compiere ogni sforzo per valorizzare al massimo le sue capacità di guadagno (STFA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In esito alle considerazioni che precedono, il TCA deve concludere che, sul mercato generale del lavoro, esistono delle attività leggere adeguate, che l’assicurato sarebbe in grado di esercitare in misura dell’80%, nonostante il danno alla salute, così come delle attività medio-pesanti, che egli potrebbe svolgere al 70%. È peraltro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U 329/01 del 25 febbraio 2003, consid. 4.7). 2.13.   Si tratta ora di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come correttamente ritenuto dall’amministrazione, sono determinanti i dati del 2010 (visto che è in quell’anno che è avvenuta la soppressione della rendita). 2.14.   Per quel che concerne il reddito da valido , il consulente in integrazione incaricato ha tenuto conto di un salario (2008) di fr. 53’235 (doc. 122-2) - conformemente a quanto indicato dal precedente datore di lavoro dell’assicurato (cfr. doc. 7-4) – aggiornato al 2010, per un importo pari a fr. 54'600 (cfr. doc. 101-1). Alla luce di quanto già stabilito in ambito infortunistico nella sentenza 35.2010.65 del 7 marzo 2011, cresciuta incontestata in giudicato, il TCA ritiene di dovere tenere conto di un reddito da valido, per il 2010, di fr. 54'684.50. 2.15.   Per quanto riguarda invece il reddito da invalido ,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In applicazione della giurisprudenza sviluppata nella sentenza del 7 aprile 2008 (inc. 32.2007.165), utilizzando i dati forniti dalla tabella TA1 2008 elaborata dall'Ufficio federale di statistica, il ricorrente, il ricorrente,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B 9.2, pubblicata in La Vie économique, 7/8-2009, p. 90 ), esso ammonta a fr. 4'998.24 mensili oppure a fr. 59'978.88 per l'intero anno (fr. 4'998.24 x 12, ritenuto che la quota di tredicesima è già compresa, cfr. STFA del 18 febbraio 1999 nella causa B., U 274/98, p. 5 consid. 3a). Dopo adeguamento all’indice dei salari nominali, si ottiene, per il 2009 ( cfr. tab. relativa all’e voluzione dei salari nominali pubblicata sul sito dell’Ufficio federale di statistica ), un reddito annuo di fr. 61'238.44 e, per il 2010, di fr. 61’728.35. Ritenuto che, come visto in precedenza, da un punto di vista medico, l’assicurato può esercitare, nell’ipotesi a lui più favorevole - come indicato dall’UAI nella risposta di causa (cfr. doc. IV) - un’attività medio-pesante al 70%, il reddito statistico citato va ridotto del 30% e ammonta a fr. 43'209.60, mentre, tenendo conto del fatto che egli può svolgere un’attività leggera adeguata alle sue condizioni di salute all’80%, il reddito statistico citato va ridotto del 20% e ammonta a fr. 49'382 ( fr. 61'728 ridotti del 15% ). 2.16.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I 147/05 del 25 luglio 2005,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U 420/04 del 25 luglio 2005,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35.2004.104 del 25 aprile 2005,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2.17.   In concreto, nel rapporto del 22 novembre 2011, il consulente IP ha accordato una riduzione percentuale del 18% così giustificata: “8% per attività leggera e 10% per altri fattori di riduzione” (cfr. doc. 101-2). Tale percentuale del 18% stabilita dal consulente e non contestata dall’assicurato, può essere confermata dal TCA. Questa soluzione si giustifica tanto più se si considera che per costante giurisprudenza il Giudice non può scostarsi dalla valutazione dell’amministrazione senza fondati motivi (cfr. DTF 137 V 71 c. 5.2 pag 73 ss; DTF 126 V 80 consid. 5b/dd e 6). Va infatti rilevato che il consulente ha adeguatamente tenuto conto delle circostanze specifiche del caso concreto (limitazione addebitabile al danno alla salute, età, anni di servizio, nazionalità e tipo di permesso di dimora, grado d'occupazione). Altre circostanze personali che potrebbero giustificare una decurtazione sul reddito statistico da invalido, non ve ne sono (in particolare, non l’età dell’assicurato, nata nel 1958, cfr. al riguardo STF 9C_1013/2008 del 23 dicembre 2009, con la quale il Tribunale federale, confermando la sentenza del TCA 32.2007.358 del 10 novembre 2008, ha rilevato che l’età dell’assicurato, di 56 anni al momento della decisione impugnata, non giustificava una riduzione percentuale maggiore rispetto a quella accordata dall’amministrazione). Procedendo al raffronto dei redditi, con riferimento al 2010, partendo da un salario da invalido di fr. 61'728, ritenuta, come indicato dall’UAI nella risposta di causa (cfr. doc. IV), nel caso più favorevole all’assicurato, un’esigibilità dal profilo medico del 70% e ammettendo una riduzione del 18%, il reddito ipotetico dell’insorgente ammonta, quindi, a fr. 35'432 . C onfrontando ora questo dato con l’ammontare del reddito da valido nel medesimo anno di fr. 54'684.50 (consid. 2.14.), emerge un tasso d’invalidità del 35.21% arrotondato al 35% secondo la giurisprudenza di cui alla DTF 130 V 121 consid. 3.2. = SVR 2004 UV Nr. 11 pag. 41), percentuale che non dà diritto ad una rendita di invalidità , come stabilito dall'amministrazione. Tenendo conto, invece, di un’esigibilità lavorativa dell’80% in attività leggere adeguate e ammettendo una riduzione del 18%, sempre partendo da un salario da invalido di fr. 61'728, il reddito ipotetico dell’insorgente ammonta, quindi, a fr. 40'494 . C onfrontando ora questo dato con l’ammontare del reddito da valido nel medesimo anno di fr. 54'684.50 (consid. 2.14.), emerge un tasso d’invalidità del 25.95% arrotondato al 26% secondo la giurisprudenza di cui alla DTF 130 V 121 consid. 3.2. = SVR 2004 UV Nr. 11 pag. 41), percentuale che non dà diritto ad una rendita di invalidità , come stabilito dall'amministrazione. Visto quanto precede, la decisione impugnata va confermata e il ricorso respinto . 2.18.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