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32.2012.247 vom 4. September 2012</w:t>
      </w:r>
    </w:p>
    <w:p>
      <w:r>
        <w:t>TI Tribunale d'appello, 2012-09-04, IT</w:t>
      </w:r>
    </w:p>
    <w:p>
      <w:r>
        <w:rPr>
          <w:b/>
        </w:rPr>
        <w:t xml:space="preserve">Quelle: </w:t>
      </w:r>
      <w:r>
        <w:t>https://mcp.opencaselaw.ch/entscheid/ti_gerichte_32.2012.247</w:t>
      </w:r>
    </w:p>
    <w:p>
      <w:r>
        <w:t>FR: TI_GERICHTE 32.2012.247 du 4 septembre 2012</w:t>
      </w:r>
    </w:p>
    <w:p>
      <w:r>
        <w:t>IT: TI_GERICHTE 32.2012.247 del 4 settembre 2012</w:t>
      </w:r>
    </w:p>
    <w:p>
      <w:pPr>
        <w:pStyle w:val="Heading2"/>
      </w:pPr>
      <w:r>
        <w:t>Regeste</w:t>
      </w:r>
    </w:p>
    <w:p>
      <w:r>
        <w:t>Domanda di una rendita AI e di provvedimenti professionali respinta poiché il ricorrente non adempie le condizioni previste dalla legge per benenficiare delle prestazioni richieste</w:t>
      </w:r>
    </w:p>
    <w:p>
      <w:pPr>
        <w:pStyle w:val="Heading2"/>
      </w:pPr>
      <w:r>
        <w:t>Erwägungen</w:t>
      </w:r>
    </w:p>
    <w:p>
      <w:r>
        <w:rPr>
          <w:b/>
        </w:rPr>
        <w:t>E. 17</w:t>
      </w:r>
    </w:p>
    <w:p>
      <w:r>
        <w:t>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10.   In concreto, pur essendo il grado d’invalidità superiore alla soglia del 20% la decisione dell’UAI merita conferma.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i periti hanno auspicato per il ricorrente un aiuto per una reintegrazione professionale al fine di inserire l’interessato nel circuito economico normale (cfr. doc. AI 74-17). Dal rapporto della consulente in integrazione dell’8 giugno 2012 emerge che l’assicurato aveva espresso il desiderio di riqualificarsi nel settore sanitario (operatore socio assistenziale) e che si era proceduto con una valutazione scolastica (l’interessato ha beneficiato di un corso di formazione ai sensi dell’art. 7d LAI; cfr. doc. AI 27-1 e 28-1), chiedendo il parere dello psichiatra per una valutazione dell’idoneità della professione dal lato delle relazioni umane (doc. AI 81-1). Tuttavia, il docente di cultura del __________ di __________o aveva evidenziato parecchie lacune e una preparazione piuttosto modesta e incompleta (doc. AI 81-1 e 32-2) e il medico SMR, dr. med. __________, nel rapporto del 3 novembre 2010, aveva consigliato un’attività con scarsi contatti interpersonali, con scarse responsabilità e non percepita dall’assicurato come frustrante (doc. AI 81-1 e 36-1). Per la consulente in integrazione non appare di conseguenza opportuno un impiego con persone malate e con problemi sociali rispettivamente che necessitano aiuto nello svolgere atti quotidiani (doc. AI 81-1 e 37-1). I periti del __________ hanno del resto anch’essi rilevato la presenza di un « trouble de personnalité présenté par l ’expertisé générant une restriction à élaborer les situations conflictuelles interpersonnelles et une diminution de ses capacités d’adaptation » (cfr. pag. 17 della perizia, doc. AI 74-17). L’interessato, nel mese di marzo 2011, ha inoltre preso parte ad un incontro informativo nel corso del quale ha espresso di voler beneficiare del sostegno del servizio di collocamento dell’AI (doc. AI 41-1; doc. AI 46-1). Il 7 marzo 2011 l’UAI ha rilasciato una garanzia per l’accertamento della scelta professionale (doc. AI 47-1) e l’insorgente ha frequentato il “ percorso __________ ”, corso formativo specifico rivolto alle persone che si avvalgono del __________. Il 20 giugno 2011 l’amministrazione ha chiuso il mandato (doc. AI 61-1). L’UAI infine, con la decisione impugnata, ha ribadito che l’interessato ha sempre la facoltà di annunciarsi per iscritto affinché sia dato seguito all’esame della valutazione di un eventuale aiuto al collocamento. La stessa consulente ha rilevato che si può ipotizzare un collocamento in tutte quelle attività rispettose dei limiti funzionali elencati in sede medica e che l’assicurato è “ sicuramente reintegrabile in una vasta gamma di attività lavorative ” (doc. AI 81-2; cfr. sentenze sopra citate). Per la consulente se l’insorgente dovesse trovare un’attività lavorativa in un ambito a lui poco conosciuto, si potrebbe ipotizzare un periodo di introduzione per permettergli di acquisire quelle nozioni che gli mancano (doc. AI 81-2). In queste condizioni rettamente la consulente, e l’UAI nella decisione impugnata, hanno escluso la possibilità di una riqualifica nell’ambio auspicato dall’insorgente, ma hanno confermato la facoltà per il ricorrente di chiedere un aiuto al collocamento (doc. AI 81-3) sulla base dell’art. 18 LAI (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la Consulente IP per chiedere il citato aiuto (cfr. sentenza 32.2011.143 del 21 novembre 2011 e sentenza 32.2012.69 del 20 agosto 2012) . In queste condizioni la decisione impugnata merita conferma, mentre il ricorso va respinto. 11.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