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32.2012.194 vom 5. Juni 2012</w:t>
      </w:r>
    </w:p>
    <w:p>
      <w:r>
        <w:t>TI Tribunale d'appello, 2012-06-05, IT</w:t>
      </w:r>
    </w:p>
    <w:p>
      <w:r>
        <w:rPr>
          <w:b/>
        </w:rPr>
        <w:t xml:space="preserve">Quelle: </w:t>
      </w:r>
      <w:r>
        <w:t>https://mcp.opencaselaw.ch/entscheid/ti_gerichte_32.2012.194</w:t>
      </w:r>
    </w:p>
    <w:p>
      <w:r>
        <w:t>FR: TI_GERICHTE 32.2012.194 du 5 juin 2012</w:t>
      </w:r>
    </w:p>
    <w:p>
      <w:r>
        <w:t>IT: TI_GERICHTE 32.2012.194 del 5 giugno 2012</w:t>
      </w:r>
    </w:p>
    <w:p>
      <w:pPr>
        <w:pStyle w:val="Heading2"/>
      </w:pPr>
      <w:r>
        <w:t>Regeste</w:t>
      </w:r>
    </w:p>
    <w:p>
      <w:r>
        <w:t>Soppressione della rendita in via di revisione. Postumi infortunistici; conferma della valutazione medico-teorica della capacità lavorativa operata in ambito LAINF</w:t>
      </w:r>
    </w:p>
    <w:p>
      <w:pPr>
        <w:pStyle w:val="Heading2"/>
      </w:pPr>
      <w:r>
        <w:t>Erwägungen</w:t>
      </w:r>
    </w:p>
    <w:p>
      <w:r>
        <w:rPr>
          <w:b/>
        </w:rPr>
        <w:t>E. 29</w:t>
      </w:r>
    </w:p>
    <w:p>
      <w:r>
        <w:t>cpv. 2 Cost. non implica il diritto di esprimersi oralmente bensì quello di prendere posizione per iscritto (Pratique VSI 2003 Nr. 97 p. 520; Pratique VSI 1993 p. 42; Locher, Grundriss des Sozialversicherungsrechts, 2003, p. 450; DTF 127 V 494, 125 I 219, 122 II 469), eccezion fatta per i casi in cui una norma scritta prevede espressamente il diritto ad una audizione orale (Pra 2003 Nr. 97 p. 520). Il diritto di essere sentito è una garanzia costituzionale formale, la cui violazione implica l'annullamento della decisione impugnata, a prescindere dalle possibilità di successo nel merito (DTF 132 V 387 consid. 5.1 p. 390; 127 V 431 consid. 3d/aa p. 437).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 437). Nel caso in esame, l’assicurato ha avuto modo di prendere posizione, con scritto 4 giugno 2012 (doc. 85), sul progetto di decisione 26 aprile 2012, ricevendo precedentemente dall’Uf- ficio AI l’intero dossier (doc. AI 84). Certo che nella decisione impugnata l’amministrazione avrebbe dovuto minimamente motivare il rifiuto di convocare l’assicurato per una visita medica presso il SMR. L’assicurato ha tuttavia la possibilità di prendere posizione davanti a questo Tribunale che gode del pieno potere cognitivo. Per cui, un’eventuale violazione del diritto di essere sentito è stata comunque sanata in questa sede, dove l’insorgente ha nuovamente ribadito le proprie censure. Nel merito 2.3.   In lite è la questione di sapere se rettamente l’Ufficio AI ha soppresso, con effetto dal 1° agosto 2012 (il primo giorno del secondo mese che segue la notifica della decisione contestata; art. 88bis cpv. 2 lett. a OAI), la rendita intera o, come da richiesta ricorsuale, se l’assicurato ha diritto ad una (mezza) rendita.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2.5.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Va evidenziato che l’art. 31 LAI, nel tenore vigore dal 1. gennaio 2012, che regola la riduzione o soppressione della rendita, stabilisce che se un assicurato che ha diritto a una rendita consegue un nuovo reddito lavorativo o se il suo reddito lavorativo attuale aumenta, la sua rendita è riveduta conformemente all’articolo 17 LPGA soltanto se il miglioramento del reddito supera 1500 franchi all’anno (cpv. 1). Infine, l’art. 86 ter OAI, in vigore dal 1. gennaio 2008, pone il principio secondo cui la revisione tiene conto unicamente della parte di miglioramento del reddito che non dipende dal rincaro. 2.6.   Nel caso in esame, trattandosi unicamente di affezioni infortunistiche invalidanti, l’Ufficio AI ha fondato il proprio giudizio sugli atti richiamati dalla __________ in particolare tenendo conto della visita di chiusura del 20 marzo 2012 eseguita dal dr. __________. Dal relativo rapporto datato 2 aprile 2012 si evince che il succitato, specialista in chirurgia generale e dalla mano, dopo aver proceduto alla consueta anamnesi, elencati gli atti medici presenti nell’inserto, viste le dichiarazioni dell’assicurato ed esaminati i referti, ha posto la seguente diagnosi: " (…) Diagnosi:         stato da frattura basi cervicale al femore prossimale sinistro avvenuta l'11.01.2008. Stato da osteosintesi con DHS il 12.01.2008. Stato da rimozione del materiale di osteosintesi fine 2009. Causa necrosi della testa del femore sinistro in data 03.02.2011 posa di protesi totale anca sinistra. Diagnosi secondarie principali: diabete mellito insulino dipendente. Ipertensione arteriosa. (…)" (doc. AI 91/76) In merito alla capacità lavorativa, il dr. __________ ha rilevato: " (…) Aspetti medico-assicurativi: l'assicurato non è più ritenuto idoneo a riprendere il suo lavoro di operaio pittore presso la ditta __________, pitture industriali di __________. La ditta __________ non è più disposta a riassumere l'assicurato visto che non ha lavori adeguati al suo stato di salute. Durante la valutazione delle capacità funzionali e FL all'istituto Fisio __________ si era dimostrato che la capacità funzionale dell'assicurato si situa chiaramente al di sotto delle richieste di carico dell'attività lavorativa svolta fino ad ora. Era stata espressa la seguente esigibilità basata sulla problematica post-traumatica all'anca sinistra: lavoro da leggero a medio-pesante da 10 kg a 15 kg lungo tutto l'arco della giornata con ulteriori pause (oltre alle solite pause di circa 20 minuti per mezza giornata) ripartite sulla giornata circa ogni ora e mezza. Riduzione del carico nel sollevare pesi, nella durata di movimenti di rotazione in piedi e nell'essere flessi in avanti, limitazioni particolari non accovacciarsi, evitare lavori che richiedono molto equilibrio e salire su scale a pioli. Maneggio di attrezzi leggeri e di precisione e medi senza limitazione, lavoro pesante, manuale e rozzo mai, molto pesante mai, nessun problema di rotazione delle due estremità superiori. Posizione e mobilità con lavori sopra la testa possibili, di rotazione del tronco possibile, posizione seduta/inclinata in avanti e in piedi/inclinata in avanti spesso con cambio di queste due posizioni, posizione inginocchiata e di flessione delle ginocchia mai. Posizione di lunga durata seduta/in piedi in alternanza con cambio ogni ora e mezza, posizione a libera scelta senza limitazione. Spostamento: camminare fino e oltre 50 m senza limitazione, per lunghi tratti talvolta, camminare su terreno accidentato mai, salire le scale di raro su cale a pioli mai. Uso delle due mani senza limitazione, evitare lavori che richiedono lo stare in equilibrio. Basandoci su questa esigibilità lavorativa l'assicurato in un lavoro adatto è ritenuto abile a lavoro nella misura massima possibile a partire dal 01.04.2012." (doc. AI 91/76-77) Fatta propria la valutazione del succitato sanitario della __________ in merito alla piena abilità lavorativa in attività adeguate dal 1° aprile 2012 (rispetto alla prendente decisione dell’8 luglio 2010 vi è stato quindi un miglioramento della residua capacità lavorativa), l’Ufficio AI ha poi proceduto al consueto raffronto dei redditi. Non avendo accertato un’invalidità di grado pensionabile, con la decisione contestata l’amministrazione ha soppresso la rendita. Con il presente ricorso l’assicurato sostiene la lacunosità dell’istruttoria dell’Ufficio AI, evidenziando in particolare: " (…) Questo viene facilmente dimostrato dai documenti che compongono l'incarto AI. Infatti basi considerare che il dr. med. __________, del SMR, al quale era stato chiesto di valutare il rapporto medico relativo alla visita di chiusura 2.04.2012, non si è pronunciato in merito, limitandosi a rinviare alle indicazioni della __________ per quanto concerne il grado di capacità lavorativa da riconoscere al ricorrente (cfr. doc. LL). Trattasi dell'unica valutazione medica svolta dall'AI per il caso, nella quale, appunto, si rinvia semplicemente alle conclusioni __________ (cfr. doc. LL). Al fine di determinare la capacità / incapacità lavorativa e pertanto il grado d'invalidità da riconoscere al ricorrente in ambito AI, il dr. med. __________ riteneva necessario chiedere alla __________ quale fosse il grado di capacità lavorativa riconosciutogli (cfr. doc. MM), siccome non era ancora stato definito da quest'ultima. Si sottolinea che ancora al giorno d'oggi la __________ non si è espressa in merito , eppure, in modo estremamente scioccante e totalmente arbitrario, l'Ufficio AI ha emanato una decisione, senza procedere come richiesto dal dr. med. __________. (…)" (doc. I, pag. 8) L’insorgente rileva inoltre di non essere stato visitato dal SMR nonostante espressa richiesta formulata con le osservazioni al progetto di decisione, stigmatizzando il fatto che l’Ufficio AI non abbia preso contatto con il chirurgo, dr. __________, il quale, oltre ad aver effettuato tutti gli interventi successivi all’infortunio, si è espresso criticamente sull’operato dell’amministrazione.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2.8.   Va poi ricordato che l 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la guadagno (DTF 131 V 120). Ciononostante, il singolo assicuratore non è tenuto ad assumere automaticamente il grado d’invalidità fissato da un altro assicuratore senza predisporre i propri accertamenti; d’altra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non pubblicata dell'8 luglio 1999 nella causa A.F. (U183/98), il TFA ha stabilito che l'assicuratore infortuni non deve scostarsi dalla valutazione dell'assicuratore AI, fintanto che quest'ultimo si fonda su un'istruzione approfondita, sia dal profilo medico che dal punto di vista professionale. Infine, g li organi dell'assicurazione invalidità non sono vincolati e devono scostarsi dalla valutazione dall’assicuratore infortuni, allorquando, ad esempio, quest'ultimo abbia tralasciato di operare un raffronto dei redditi (AHI-Praxis 1998 pag. 170). Il principio del coordinamento è in seguito stato relativizzato dal TF, il quale ha stabilito non vincolante la valutazione dell’invalidità da parte dell’assicurazione contro gli infortuni o dell’assicurazione per l’invalidità verso l’altro assicuratore, tant`è che il primo non può interporre opposizione ad una decisione del secondo e viceversa (DTF 131 V 362 e da ultimo DTF 133 V 549). 2.9. Ritornando al caso in esame, in effetti nelle annotazioni 24 aprile 2012 il dr. Gandusio del SMR, preso atto della visita di chiusura 20 marzo 2012 eseguita presso l’assicuratore LAINF, ha evidenziato che “ si deve chiedere alla __________ quale è il grado di CL (capacità lavorativa; n.d.r.) da loro riconosciuto ” (doc. AI 77), ciò che non è stato fatto. Tuttavia, dal citato rapporto 2 aprile 2012 del dr. __________ e dalla lettera 5 aprile 2012 della __________ all’assicurato (ricevuta in copia; cfr. doc. AI 75), l`Ufficio AI poteva desumere la piena abilità al lavoro in attività adeguate. Con la decisione formale 7 agosto 2012, allegata alla risposta di causa, la __________ ha tuttavia definito come segue la residua capacità lavorativa: " (…) Dagli accertamenti medici ed economici è risultato che il signor Josipovic non è più in grado di svolgere la sua attività di pittore. Tuttavia, per i soli postumi infortunistici all'anca sinistra, è abile a svolgere un'attività lavorativa da leggero a medio-pesante, dove vi è la possibilità di introdurre, nel ritmo di lavoro, almeno un'ulteriore pausa (oltre alle solite pause di circa 20 minuti per mezza giornata) di un'ora al giorno. (…)" (doc. IV/1) Fatto sta, come verrà esposto nel prosieguo, anche tenendo conto, per ipotesi di lavoro, di una riduzione del 12% dovuta alla pausa supplementare quotidiana di un’ora, l’assicurato non avrebbe diritto ad una rendita. Inoltre, questo TCA ritiene che il quadro clinico dell’assicurato è stato sufficientemente chiarito dalla __________ e non vi sono ragioni per scostarsi dalla valutazione circa la residua capacità lavorativa. D’altronde l’insorgente non ha prodotto della documentazione atta a mettere in dubbio la fondatezza della valutazione dell’assicuratore LAINF. Certo, l’insorgente ha fatto riferimento al rapporto 4 luglio 2012 del dr. __________ il quale relativamente alla capacità lavorativa ha evidenziato: " (…) Attualmente siamo di fronte ad una situazione stabile dove delle misure terapeutiche non sono suscettibile a migliorare la situazione. Dunque come spesso accade la Suva ha definito il caso sospendendo le prestazioni per le cure mediche, ritenendo il paziente abile al lavoro a delle attività adattate, con una percentuale che ancora non è definita, visto che il grado d'invalidità non è ancora stato deciso. Di conseguenza l'ufficio AI ha sospeso la rendita, visto che il signor Josipovic è ritenuto abile a svolgere delle attività lucrative adeguate. Purtroppo si tratta di una situazione che si riscontra frequentemente con i pazienti che dopo l'infortunio, non sono più abile a svolgere l'attività precedente, ma che sono ritenuti abili a svolgere un'attività lavorativa adeguata. Per quanto riguarda la capacità lavorativa attuale del signor Josipovic penso che il massimo esigibile sia un'attività sedentaria al 50% dove il paziente non deve effettuare troppi spostamenti e dove può svolgere lavori in posizione statica e seduta. Purtroppo queste indicazioni rimangono, secondo me illusorie, visto l'età del paziente e il grado di formazione sicuramente renderanno quasi impossibile di trovare un nuovo impiego." (doc. MM) Tuttavia, come rettamente rilevato nelle annotazioni 11 ottobre 2012 del dr. __________ del SMR (allegate alle osservazioni 15 ottobre 2012; cfr. consid. 1.doc. VIII), dal rapporto del citato chirurgo non risulta una modifica dello stato di salute dell’assicurato rispetto a quanto accertato durante la visita di chiusura del 20 marzo 2012. Vi è solo divergenza sul grado d’incapacità lavorativa. Il dr. __________ non ha comunque spiegato i motivi per dissociarsi dalla valutazione fatta dal medico __________. Alla dettagliato rapporto 2 aprile 2012 del dr. __________, a cui va attribuito valore probatorio pieno (cfr. consid. 2.7), va prestata piena adesione, questo indipendentemente dal fatto che contro la decisione formale 7 agosto 2012 della __________ l’interessato abbia interposto, come da lui sostenuto, opposizione. Questo Tribunale ritiene pertanto che la refertazione medica agli atti contiene elementi chiari e sufficienti per valutare l'incapacità al guadagno dell'assicurato sino all'emanazione del querelato provvedimento, senza che si renda quindi necessario l'esperimento di ulteriori accertamenti richiesti dal ricorrente in sede giudiziaria.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Infine, l’assicurato rileva che, nonostante esplicita richiesta, non è stato visitato personalmente dal SMR. Va al riguardo ricordato che, secondo la giurisprudenza, se ad una perizia (valutazione medica) allestita esclusivamente sulla base dell'incarto può essere riconosciuto valore probante nella misura in cui quest'ultimo contenga sufficienti apprezzamenti medici che, a loro volta, si fondano su un esame personale dell'assicurato (cfr. RAMI 1998 U 56, p. 370 s. consid. 5b ed il riferimento),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 STCA dell'8 agosto 2002 nella causa T., 35.2000.34). Dal momento che nel caso in esame non si tratta di una problematica d’ordine psichico, considerato inoltre che l’assicurato è stato visto personalmente dal medico della __________, la scelta dell’amministrazione di non convocare personalmente il ricorrente per una visita presso il SMR risulta essere legittima. 2.10. Per quel che concerne l’aspetto economico, nel rapporto 26 aprile 2012 il consulente in integrazione professionale, tenendo conto delle limitazioni mediche, ha proceduto al calcolo del grado d’invalidità mediante il raffronto dei redditi (doc. AI 78). 2.10.1 Riguardo all’accertamento del reddito da valido, è decisivo stabilire, secondo il principio della verosimiglianza preponderante, quanto l’assicurato guadagnerebbe, al momento della nascita del diritto alla rendita, se fosse sano (STFA I 475/01 del 13 giugno 2003,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determinante è di regola l’ultimo guadagno conseguito, adeguato al rincaro ed eventualmente all’usuale crescita dei salari (RKUV 2000 n. U 400 p. 381 e riferimenti). Nel caso in esame, quale reddito da valido il consulente, fondandosi sui dati forniti dall’ex datore di lavoro (cfr. scritto 9 ottobre 2008; doc. AI 9), ha preso in considerazione un importo di fr. 61’275.--, aggiornato al 2010. Tale dato – per altro non contestato – va confermato. 2.10.2   Per quel che concerne il reddito da invalido, secondo la giurisprudenza, lo stesso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Nella fattispecie concreta, nel calcolo riportato nella decisione contestata – facente riferimento al citato rapporto 26 aprile 2012 del consulente in integrazione professionale (doc. AI 78) – l ’amministrazione ha utilizzato i dati salariali evinti dalla tabella TA1 (stato 2008) elaborata dall'Ufficio federale di stati-stica e relativa ad una professione che presuppone qualifiche inferiori (categoria 4) nel settore privato svizzero (a proposito della rilevanza delle condizioni salariali nel settore privato, cfr. RAMI 2001 U 439, pp. 347ss. e SVR 2002 UV 15, pp. 47ss.), per un salario annuo lordo, aggiornato al 2010, di fr. 61’754.--. L’amministrazione ha poi riconosciuto una riduzione di reddito del 13% (4% per attività leggere e 10% per altri fattori), quantificando un reddito da invalido di fr. 53'108.--. Con osservazioni 26 settembre 2012 (cfr. consid. 1.5) l’assicurato contesta tale calcolo. Rileva come l’Ufficio AI non abbia utilizzato la tabella statistica TA1 del 2010 e tantomeno considerato una riduzione del 12% di rendimento (pari alla pausa quotidiana supplementare di 1 ora) della residua capacità lavorativa in attività adeguate e del 5,15% per differenza salariale (cosiddetto gap salariale), riduzioni riconosciute dalla __________. Nello scritto 15 ottobre 2012 l’amministrazione precisa che: " (…) Dal lato economico il confronto dei redditi è stato eseguito con riferimento ai dati del 2010. Il reddito da valido risulta incontestato (fr. 61'275.-). In merito al reddito da invalido statistico, si precisa che l'amministrazione, non disponendo delle nuove tabelle, ha proceduto al calcolo aggiornando il dato statistico 2008 al 2010. Tuttavia, anche procedendo al calcolo con l'importo indicato nei dati statistici NOGA 2008, anno 2010, riferito ad attività semplici e ripetitive, uomini, risulta giustificata la soppressione del diritto a rendita AI. Infatti, il dato statistico mensile corrisponde a fr. 4'901.- (RSS, TA 1, NOGA 2008, anno 2010). Il salario mensile standardizzato indicato nella tabella TA1 è riferito a 40 ore settimanali. Essendo la durata normale di lavoro per il 2010 pari a 41,6 ore, l'importo standardizzato (media svizzera delle ore lavorative) va calcolato su tale orario, corrispondendo, per il 2010 a un importo mensile di fr. 5'097.04. Per 12 mensilità risulta un importo annuo di fr. 61'164,48. Tale importo è corretto (cfr. decisione __________). Applicando le ulteriori riduzioni (12% per rendimento ridotto e 14% come da decisione dell'Ufficio AI), risulta un grado d'invalidità del 24%. Anche considerando i dati 2010 risulta corretta la soppressione del diritto a rendita AI in considerazione di un grado d'invalidità inferiore al 40%. (…)" (doc. VIII) Per quel che concerne il mancato riconoscimento del gap salariale, nella risposta di causa l’Ufficio AI ha motivato tale scelta in quanto “dal momento dell’entrata in Svizzera nel 1983, ha sempre lavorato per lo stesso datore di lavoro accontentandosi del salario percepito” (IV). Sia come sia, tenendo in considerazione anche le riduzioni effettuate dall’assicuratore LAINF, il grado d’invalidità resterebbe comunque inferiore al 40% secondo il seguente calcolo. Utilizzando i dati forniti dalla tabella TA1 2010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 mensili oppure a fr. 61'164.50 per l'intero anno (fr. 5'097.-- x 12, ritenuto che la quota di tredicesima è già compresa; cfr. STFA del 18 febbraio 1999 nella causa B., U 274/98, p. 5 consid. 3a). Posta una riduzione del 5,15% per gap salariale (5’15% di fr. 61'164,50 = fr. 3'150.--), tenuto conto di una riduzione di rendimento del 12% (88% di [61'164,50 – 3'150] = fr. 51'052,30) e di una riduzione del 14% del reddito riconosciuto dall’Ufficio AI (14% di fr. 51'052,30 = 7'147,30) il reddito da invalido corrisponde a fr. 43'905.--. Dal raffronto con un reddito da valido di fr. 61'275.-- il grado d’invalidità corrisponde a 28,30% (61'275 - 43'905 x 100 : 61'275) non conferente il diritto ad una rendita, motivo per cui la soppressione della prestazione è corretta. Ne consegue che la decisione contestata dev’essere confermata, mentre il ricorso va respinto. 2.11.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il quale ha tuttavia chiesto di essere posto al beneficio dell’assistenza giudiziaria con gratuito patrocinio (I). 2.12.   Ai sensi dell’art. 61 lett. f LPGA nella procedura giudiziaria cantonale deve essere garantito il diritto di farsi patrocinare. Se le circostanze lo giustificano, il ricorrente può avere diritto al gratuito patrocinio. L ' 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concreto, dal certificato per l’ammissione all’assistenza giudiziaria e dalla relativa documentazione allegata risulta che il ricorrente, coniugato e padre di due figli (nati il 1986 e 1991) ma non conviventi nella stessa economia domestica, dal 30 aprile 2012 non percepisce più indennità giornaliere LAINF e con effetto 1° agosto 2012 la rendita AI è stata soppressa. L’unica fonte di reddito della famiglia è quindi rappresentata dal salario netto di fr. 2'212,15 della di lui moglie. Da tale entrata vanno in primo luogo dedotti i fr. 1'700.-- quale importo base per coniugi secondo la Tabella per il calcolo del minimo di esistenza ai fini esecutivi (edita dalla CEF, quale autorità cantonale di vigilanza, stato 1° settembre 2009) e fr. 340.-- di supplemento del 15/25% (media) sul fabbisogno minimo secondo la citata giurisprudenza (STFA U 102/04 del 20 settembre 2004) . Tenuto conto di fr. 800.-- di affitto e fr. 418.-- di premi cassa malati relativi al ricorrente la famiglia non dispone di un’eccedenza. In queste circostanze il requisito dell’indigenza è dato.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nella misura della rispettiva soccombenza in lite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