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32.2012.14 vom 22. Dezember 2011</w:t>
      </w:r>
    </w:p>
    <w:p>
      <w:r>
        <w:t>TI Tribunale d'appello, 2011-12-22, IT</w:t>
      </w:r>
    </w:p>
    <w:p>
      <w:r>
        <w:rPr>
          <w:b/>
        </w:rPr>
        <w:t xml:space="preserve">Quelle: </w:t>
      </w:r>
      <w:r>
        <w:t>https://mcp.opencaselaw.ch/entscheid/ti_gerichte_32.2012.14</w:t>
      </w:r>
    </w:p>
    <w:p>
      <w:r>
        <w:t>FR: TI_GERICHTE 32.2012.14 du 22 décembre 2011</w:t>
      </w:r>
    </w:p>
    <w:p>
      <w:r>
        <w:t>IT: TI_GERICHTE 32.2012.14 del 22 dicembre 2011</w:t>
      </w:r>
    </w:p>
    <w:p>
      <w:pPr>
        <w:pStyle w:val="Heading2"/>
      </w:pPr>
      <w:r>
        <w:t>Erwägungen</w:t>
      </w:r>
    </w:p>
    <w:p>
      <w:r>
        <w:rPr>
          <w:b/>
        </w:rPr>
        <w:t>E. 20</w:t>
      </w:r>
    </w:p>
    <w:p>
      <w:r>
        <w:t>a-prile 2010, la mezza rendita è erogabile dal 1° ottobre 2010. In queste circostanze, la decisione contestata dev’essere annullata, mentre il ricorso va accolto. Visto l’esito del gravame non è necessario procedere ad ulteriori accertamenti né all’organizzazione di un pubblico dibattimento (cfr. consid. 1.5). Giova infatti al proposito ricordare come l’accoglimento (nel merito) da parte del giudice delle richieste ricorsuali sulla base degli atti costituisca motivo di rinuncia – a titolo eccezionale – all’esperimento di un dibattimento pubblico ex 6 CEDU chiesto dalla parte ricorrente (in argomento cfr. Villiger, Handbuch der Europäischen Menschenrechtskonvention, 1993, § 22 n. 438; STF 9C_684/2010 del 4 novembre 2010; DTF 136 I 281, 122 V 58).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