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32.2012.10 vom 27. November 2011</w:t>
      </w:r>
    </w:p>
    <w:p>
      <w:r>
        <w:t>TI Tribunale d'appello, 2011-11-27, IT</w:t>
      </w:r>
    </w:p>
    <w:p>
      <w:r>
        <w:rPr>
          <w:b/>
        </w:rPr>
        <w:t xml:space="preserve">Quelle: </w:t>
      </w:r>
      <w:r>
        <w:t>https://mcp.opencaselaw.ch/entscheid/ti_gerichte_32.2012.10</w:t>
      </w:r>
    </w:p>
    <w:p>
      <w:r>
        <w:t>FR: TI_GERICHTE 32.2012.10 du 27 novembre 2011</w:t>
      </w:r>
    </w:p>
    <w:p>
      <w:r>
        <w:t>IT: TI_GERICHTE 32.2012.10 del 27 novembre 2011</w:t>
      </w:r>
    </w:p>
    <w:p>
      <w:pPr>
        <w:pStyle w:val="Heading2"/>
      </w:pPr>
      <w:r>
        <w:t>Regeste</w:t>
      </w:r>
    </w:p>
    <w:p>
      <w:r>
        <w:t>Richiesta di aumento del grado di una rendita AI respinta. Confermate le risultanze della perizia pluridisciplinare fatta allestire dall'amministrazione</w:t>
      </w:r>
    </w:p>
    <w:p>
      <w:pPr>
        <w:pStyle w:val="Heading2"/>
      </w:pPr>
      <w:r>
        <w:t>Erwägungen</w:t>
      </w:r>
    </w:p>
    <w:p>
      <w:r>
        <w:rPr>
          <w:b/>
        </w:rPr>
        <w:t>E. 27</w:t>
      </w:r>
    </w:p>
    <w:p>
      <w:r>
        <w:t>gennaio 2012, cfr. anche sentenza 9C_949/2010 del 5 luglio 2011, nonché sentenza 9C_9/2010 del 29 settembre 2010). Non va poi dimenticato che la valutazione complessiva è stata confermata sia dai periti SAM che dal medico SMR, dr. med. __________ (cfr. a proposito dei compiti e del valore probatorio attribuiti ai rapporti interni dell’SMR la SVR 2009 IV n. 56 pag. 174 [9C_323/2009]; cfr. anche la sentenza 9C_15/2011 del 27 gennaio 2012, consid. 5.2; cfr. pure la sentenza 8C_814/2011 del 12 gennaio 2012, dove, in ambito LAINF, al consid. 2.4 il TF ha affermato che “ dopo attento esame dell’incarto, visto in particolare che nel ricorso di ultima istanza non si adducono argomenti idonei a stravolgere le conclusioni dell’autorità di primo grado, la quale ha esposto in modo convincente come di fronte a valutazioni mediche contraddittorie […omissis…] si debba ritenere maggiormente attendibile il parere espresso dagli specialisti intervenuti per conto dell’assicuratore resistente (in merito al valore probatorio riconosciuto ai pareri medici interni dell’assicurazione cfr. DTF 125 V 351 consid. 3b/ee pag. 353), anche questa Corte non vede valido motivo per scostarsi da questa opinione […] ”). A questo riguardo va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Inoltre il TFA (dal 1° gennaio 2007: TF), in una decisione del 24 agosto 2006 (I 938/05),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Visto quanto sopra, questo Tribunale condivide le affidabili e concludenti valutazioni dei periti del SAM e del medico SMR, dr. med. __________ (cfr. più in generale sul valore probatorio dei rapporti interni del SMR la sentenza I 143/07 del 14 settembre 2007, consid. 3.3; cfr. pure la sentenza 9C_949/2010 del 5 luglio 2011 con rinvii e 9C_376/2007 del 13 giugno 2008), che hanno valutato compiutamente tutta la documentazione medica agli atti giungendo ad una conclusione logica e priva di contraddizioni in merito all’incapacità lavorativa del ricorrente. A questo proposito il TCA evidenzia che non ha alcun motivo per distanziarsi da quanto stabilito dal medico SMR, dr. med. __________, che ha accertato un’incapacità lavorativa complessiva per il ricorrente, dal 5 giugno 2008, del 50% nella precedente attività di manovale marmista (doc. AI 42-2, doc. AI 48-1 e doc. AI 50-1; cfr. anche doc. AI 44-2). Infatti, se da una parte è vero che i periti del SAM hanno suddiviso la professione in attività di lucidatore di marmo (dove hanno accertato una capacità lavorativa del 70%) e di posatore di marmo (con una capacità lavorativa del 50%), va evidenziato che l’interessato, di formazione marmista, percepiva un unico salario dal medesimo datore di lavoro per la professione esercitata di lucidatore e posatore di marmi. Si tratta in entrambi i casi di un’attività pesante che, alla luce della patologia reumatologica di cui soffre il ricorrente ( sindrome cervicospondilogena cronica dal 2008 su incipiente osteocondrosi C3-C4 e C4-C5, ernia discale C5-C6 mediolaterale sinistra senza neuro compressione, epicondilite ulnare cronica a destra dal 2008), deve essere valutata complessivamente, come effettuato dal medico SMR. Va infatti qui rammentato che i marmisti, che operano prevalentemente nell’ambito dell’edilizia, hanno quale compito sia quello di procedere alla posa degli elementi realizzati in laboratorio sia quello della pulitura, montaggio e smontaggio delle parti deteriorate e di padroneggiare il funzionamento delle diverse macchine a loro disposizione per determinare, consigliare e procedere alle lavorazioni più appropriate: levigare, lucidare, fiammare, ecc. (cfr. a proposito delle mansioni del marmista: www.orientamento.ch). Viste le patologie di cui è affetto l’insorgente, giustamente il medico SMR ha stabilito una incapacità lavorativa globale del 50% quale marmista. Alla luce della funzione del SMR (cfr. il già citato art. 59 cpv. 2bis LAI), questo TCA deve pertanto concludere che l’insorgente, dopo i periodi di incapacità lavorativa in qualsiasi attività del 100% dal 10 agosto 2007 al 26 agosto 2007, del 50% dal 27 agosto 2007 al 4 settembre 2007, del 100% dal 5 settembre 2007 al 28 ottobre 2007, del 50% dal 29 ottobre 2007 al 4 giugno 2008, dal 5 giugno 2008 è incapace al lavoro al 50% nella precedente attività e al 30% in attività adeguata (cfr. doc. AI 50-1). 8.   Va ora esaminato se il calcolo del grado d’invalidità, di per sé non contestato dall’insorgente, è stato effettuato correttamente.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di specie l’insorgente non contesta il reddito da valido preso in considerazione dall’UAI di fr. 63'719 quale marmista nel 2008, anno d’inizio del diritto alla rendita (che, adeguato al 2010, ammonta a fr. 65'605; cfr. doc. AI 55-1). 9.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concreto, utilizzando i dati forniti dalla tabella TA1 2008 elaborata dall'Ufficio federale di statistica, il ricorrente, svolgendo nel 2008 una professione che presuppone qualifiche inferiori nel settore privato svizzero (a proposito della rilevanza delle condizioni salariali nel settore privato , cfr. RAMI 2001 U 439, p. 347ss. e SVR 2002 UV 15, p. 47ss.), avrebbe potuto realizzare, in media, un salario annuale lordo pari a fr. 59’979 (4'806 : 40 X 41.6 X 12; cfr. anche sentenza U 8/07 del 20 febbraio 2008), corrispondente a fr. 61’239 (+ 2.1%) nel 2009 e a fr. 61'729 nel 2010 (+ 0,8%). L’assicurato, quale marmista, avrebbe potuto guadagnare nel 2008 fr. 63’719 (consid. 8). Tale reddito si situa leggermente sopra la media dei salari svizzeri per un’attività equivalente (cfr. Tabella TA1, punto 15-37 attività manifatturiere: fr. 63’387 nel 2008 [5’116 : 40 X 41.3 X 12]). Non sono, perciò, realizzati i presupposti per ridurre il reddito statistico da invalido in applicazione della giurisprudenza di cui alla sentenza 8C_44/2009 sopra menzionata.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Nella presente evenienza l’UAI ha applicato una riduzione del 5% per attività leggera e del 5% per svantaggi salariali derivanti da contingenze particolari, ossia complessivamente del 10%, che l’insorgente non contesta e che il Tribunale non ha alcun motivo per modificare ritenuto che si tratta di una percentuale che rientra nei parametri fissati dalla giurisprudenza. Raffrontando il reddito da valido di fr. 63’719 (consid. 8) con quello da invalido di fr. 59'979, ridotto del 30% (incapacità lavorativa) a fr. 41'985 e del 10% (riduzione per attività leggera e svantaggi salariali) a fr. 37'787, si ottiene un grado d’invalidità del 41% (40,7% arrotondato al 41%) che dà diritto ad ¼ di rendita come calcolato dall’UAI. Va rilevato che aggiornando i salari al 2009 e al 2010 si ottiene il medesimo grado d’’invalidità, come emerge anche dalla decisione impugnata. Ne segue che il ricorso va respinto, mentre la decisione impugnata merita conferma. 10.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 ricorrente. L’assicurato chiede tuttavia di essere esentato dal pagamento delle spese, beneficiando dell’assistenza pubblica.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Va da sé che nel caso in esame non occorre esaminare il presupposto della necessità dell’intervento dell’avvocato, l’insorgente non essendo patrocinata in causa da un legale. Nella presente fattispecie non risulta tuttavia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destinata all'insuccesso in quanto le prospettive di esito favorevole erano considerevolmente minori dei rischi di perdere la causa. In effetti, l’insorgente non ha più prodotto alcun certificato medico in sede di ricorso, mentre quelli presentati in sede di osservazioni al progetto di decisione non erano manifestamente atti a sovvertire le conclusioni peritali. In simili condizioni, non essendo realizzato uno dei presupposti (cumulativi), le spese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