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32.2011.86 vom 7. Februar 2011</w:t>
      </w:r>
    </w:p>
    <w:p>
      <w:r>
        <w:t>TI Tribunale d'appello, 2011-02-07, IT</w:t>
      </w:r>
    </w:p>
    <w:p>
      <w:r>
        <w:rPr>
          <w:b/>
        </w:rPr>
        <w:t xml:space="preserve">Quelle: </w:t>
      </w:r>
      <w:r>
        <w:t>https://mcp.opencaselaw.ch/entscheid/ti_gerichte_32.2011.86</w:t>
      </w:r>
    </w:p>
    <w:p>
      <w:r>
        <w:t>FR: TI_GERICHTE 32.2011.86 du 7 février 2011</w:t>
      </w:r>
    </w:p>
    <w:p>
      <w:r>
        <w:t>IT: TI_GERICHTE 32.2011.86 del 7 febbraio 2011</w:t>
      </w:r>
    </w:p>
    <w:p>
      <w:pPr>
        <w:pStyle w:val="Heading2"/>
      </w:pPr>
      <w:r>
        <w:t>Regeste</w:t>
      </w:r>
    </w:p>
    <w:p>
      <w:r>
        <w:t>UAI ha rifiutato a buon diritto all'assicurato,nell'ambito di una nuova domanda,il diritto a prestazioni,dato che egli,ancora abile al 70% nella sua precedente attività,continua a presentare un grado di invalidità del 30%,insufficiente per ottenere il diritto ad una rendita AI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30 novembre 2010, i medici del SAM, tenuto conto delle affezioni somatiche e psichiche accertate in sede peritale, hanno ritenuto l’interessato abile al lavoro al 75% nell’ultima attività di operaio tuttofare e abile al lavoro all’85% nelle attività esercitate in precedenza di docente di educazione visiva e di impiegato di ufficio, così come in qualsiasi altra attività leggera adatta (doc. 78/16-17), sottolineando che “la valutazione attuale della capacità lavorativa residua si discosta leggermente da qualla formulata in occasione della precedente perizia SAM del 2006. Queste divergenze non sono da imputare ad una modifica del quadro clinico, ma piuttosto ad una differente interpretazione da parte dei diversi periti dell’impatto dei problemi di salute sulla capacità lavorativa” (doc. 78-17). Il TCA, nonostante le contestazioni dell’assicurato, non ha motivo di distanziarsi da queste conclusioni dei medici del SAM, per i motivi di seguito esposti. L’assicurato ha contestato queste conclusioni peritali, trasmettendo due referti del dr. __________, nei quali il medico curante ha attestato una totale inabilità lavorativa, a causa di un peggioramento delle condizioni di salute dell’interessato a livello della colonna vertebrale, comprovato da “esami recenti comprendenti una risonanza magnetica di tutta la colonna vertebrale eseguita il 20 gennaio 2011. Inoltre consultazione specialistica presso il dr. med. __________, FMH in neurochirurgia, effettuata il 30.01.2011” (doc. I e doc. P). Al riguardo, il dr. __________, nelle annotazioni del 12 aprile 2011, ha rilevato che “a livello radiologico viene espressamente confermata una situazione poco variata rispetto al 2008. L’esame clinico attuale fornito dal dr. __________ indica pure una sintomatologia stabile senza segni per sofferenza neurologica”, concludendo quindi per l’assenza di una sostanziale modifica dello stato di salute dell’interessato (doc. IV/bis). Questa conclusione del medico del SMR è poi stata confermata dai medici del SAM, chiamati dal TCA a prendere espressamente posizione riguardo alle critiche del dr. __________, a proposito dei nuovi esami radiologici e in merito alla visita specialistica del dr. __________ Sulla base dell’apprezzamento della nuova documentazione medica prodotta dall’assicurato fornito, come richiesto dal TCA, sia dal dr. ____________________, sia dal dr. __________ - i quali, dopo avere attentamente vagliato i nuovi referti trasmessi al TCA, hanno confermato integralmente quanto già stabilito in sede peritale (cfr. doc. XII/1, XII/2 e XV/1) – i medici del SAM, con scritto del 26 ottobre 2011 e del 9 novembre 2011, hanno ribadito la correttezza della valutazione peritale delle patologie dell’interessato e dell’influsso che le stesse hanno sulla sua capacità lavorativa residua, confermando integralmente le risultanze peritali (doc. XII e doc. XV). Il TCA condivide queste considerazioni degli specialisti del SAM, espresse sulla base delle accurate e ben motivate prese di posizione del dr. __________ e del dr. __________, i quali hanno riscontrato una situazione sostanzialmente invariata rispetto al momento della loro valutazione peritale.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sia stato dettagliatamente ed approfonditamente vagliato dai medici del SAM. Quanto alla critica del dr. __________ a proposito del fatto che le patologie alla colonna vertebrale che affliggono l’interessato non avrebbero dovuto essere oggetto di valutazione peritale da parte di specialisti in reumatologia, rispettivamente in neurologia, bensì venire approfondite da uno specialista in neurochirurgia (cfr. doc. XIV/bis), il TCA rileva che il Tribunale federale, in una sentenza 9C_965/2008 del 23 dicembre 2009, confermando la precedente sentenza 36.208.126 di questa Corte,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(cfr. RtiD 2010 II pag. 208 [9C_965/2008] consid. 4). In quell’occasione, l’Alta Corte, contrariamente a quanto preteso dal ricorrente – a mente del quale essendo le ernie discali di competenza di un neurochirurgo, la valutazione del caso non poteva essere affidata a un reumatologo e a un chirurgo ortopedico - ha confermato la correttezza delle valutazioni peritali effettuate da un reumatologo, rispettivamente da uno specialista in chirurgia ortopedica, concludendo che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Il Tribunale federale ha ribadito gli stessi concetti anche nelle sentenze 9C_856/2010 del 27 giugno 2011 e 9C_906/2010 del 5 aprile 2011, pubblicata in SVR 2011 IV nr. 67. Il TCA, alla luce della sentenza federale 9C_965/2008 del 23 dicembre 2009, non può quindi concordare con la critica espressa dal curante dell’assicurato. Infine, a proposito della critica ricorsuale circa la mancata presa in considerazione di quanto attestato dallo psichiatra curante, dr. __________, questo Tribunale non può che rilevare che l’interessato è stato sottoposto, nell’ambito della perizia pluridisciplinare del SAM, anche ad un’accurata valutazione psichiatrica da parte della dr.ssa __________. La specialista, poste le diagnosi di “distimia (ICD10-F34.1); sindrome da attacchi di panico (ICD10-F41.0)”, ha ritenuto l’interessato, dal profilo psichiatrico, totalmente abile al lavoro, sottolineando che “il colloquio clinico conferma un abbassamento del tono dell’umore, che tuttavia non soddisfa i criteri per un episodio depressivo di media gravità, come invece certificato dal curante” (doc. 78-31). Il TCA non ha motivo per distanziarsi da queste conclusioni, che, del resto, non sono state smentite da altre certificazioni medico-specialistiche attestanti delle patologie maggiormente invalidanti. Va qui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dei medici del SAM i criteri di affidabilità e completezza richiesti dalla giurisprudenza (cfr. consid. 2.7.),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lo stato di salute dell’assicurato non ha subito modifiche significative rispetto a quanto già stabilito nella precedente perizia SAM del 19 giugno 2006 - come espressamente indicato in sede peritale dagli stessi medici del SAM e confermato dal dr. __________ del SMR nelle annotazioni mediche del 9 dicembre 2010 (doc. 80-1, nel quale ha indicato che “come al punto 8 pag. 17 del SAM le divergenze di % ivi poste sono da imputare a differenti interpretazioni e non a modifiche sostanziali del quadro clinico”) – motivo per il quale l’interessato continua ad essere abile al lavoro al 70% nell’attività di docente di educazione visiva e come impiegato presso il soccorso operaio svizzero, così come in altre attività leggere adeguate, rispettose delle sue limitazioni funzionali, mentre va considerato abile al lavoro al 50% nell’attività di operaio ed in altre attività pesanti. Essendo il grado di incapacità lavorativa dell’interessato invariato rispetto a quanto valutato nella precedente perizia SAM del 19 giugno 2006, anche il grado di invalidità dello stesso non subisce variazioni e continua ad essere, in applicazione del cosiddetto raffronto percentuale, del 30%, come già stabilito nella precedente decisione del 4 dicembre 2006 (doc. 26/1-2), cresciuta incontestata in giudicato. Al riguardo, va infatti rilevato che conservando l’interessato una capacità lavorativa residua del 70% nella sua precedente attività di insegnante di educazione visiva, nella quale è in grado di conseguire, mettendo a frutto la sua capacità lavorativa residua, un reddito corrispondente al 70% del reddito realizzabile senza il danno alla salute (100%), l’incapacità lucrativa del ricorrente ammonta, come indicato dall’UAI nella risposta di causa, al 30% (cfr. al riguardo DTF 114 V 310 consid. 3a pag. 313 con riferimenti; STF 9C_776/2007 del 14 agosto 2008), percentuale che non dà diritto ad una rendita d’invalidità.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Nella misura in cui l’UAI ha negato all’assicurato il diritto ad una rendita di invalidità (grado del 30%), la decisione del 7 febbraio 2011 deve, perciò, essere confermata.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