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32.2011.325 vom 16. November 2011</w:t>
      </w:r>
    </w:p>
    <w:p>
      <w:r>
        <w:t>TI Tribunale d'appello, 2011-11-16, IT</w:t>
      </w:r>
    </w:p>
    <w:p>
      <w:r>
        <w:rPr>
          <w:b/>
        </w:rPr>
        <w:t xml:space="preserve">Quelle: </w:t>
      </w:r>
      <w:r>
        <w:t>https://mcp.opencaselaw.ch/entscheid/ti_gerichte_32.2011.325</w:t>
      </w:r>
    </w:p>
    <w:p>
      <w:r>
        <w:t>FR: TI_GERICHTE 32.2011.325 du 16 novembre 2011</w:t>
      </w:r>
    </w:p>
    <w:p>
      <w:r>
        <w:t>IT: TI_GERICHTE 32.2011.325 del 16 novembre 2011</w:t>
      </w:r>
    </w:p>
    <w:p>
      <w:pPr>
        <w:pStyle w:val="Heading2"/>
      </w:pPr>
      <w:r>
        <w:t>Regeste</w:t>
      </w:r>
    </w:p>
    <w:p>
      <w:r>
        <w:t>Corretta decisione con la quale UAI ha attribuito all'assicurata, in applicazione del metodo misto di calcolo, 3/4 di rendita limitati nel tempo, poi ridotti ad un quarto di rendita alla luce di un grado AI del 47%</w:t>
      </w:r>
    </w:p>
    <w:p>
      <w:pPr>
        <w:pStyle w:val="Heading2"/>
      </w:pPr>
      <w:r>
        <w:t>Erwägungen</w:t>
      </w:r>
    </w:p>
    <w:p>
      <w:r>
        <w:rPr>
          <w:b/>
        </w:rPr>
        <w:t>E. 27</w:t>
      </w:r>
    </w:p>
    <w:p>
      <w:r>
        <w:t>IVV (in der seit 1. Januar 2004 in Kraft stehenden Fassung) verwendet wird, für die Methode der Invaliditätsbemessung, d.h. für die Statusfrage, ohne Bedeutung ist. Wäre eine versicherte Person gesundheitlich in der Lage, voll erwerbstätig zu sein, vermindert sie aber das Arbeitspensum aus freien Stücken, insbesondere um mehr Freizeit (für Hobbys etc.) zu haben, hat dafür nicht die Invalidenversicherung einzustehen. Allein stehende Personen werden bei einer freiwilligen Herabsetzung des Beschäftigungsgrades nicht gleichsam automatisch zu Teilerwerbstätigen mit einem Aufgabenbereich Haushalt neben der Berufsausübung ( BGE 131 V 51 E. 5.1.2 und 5.2 S. 53 f., je mit Hinweisen). Ist demnach eine Haushaltführung ohne weiter gehende häusliche Obliegenheiten wie Betreuungsaufgaben etc. nicht in jedem Fall statusrelevant, kann auch nicht von einer dadurch verursachten, IV-rechtlich abzugeltenden erheblichen Belastung im erwerblichen Bereich ausgegangen werden. 7.3.5 Allfällige Wechselwirkungen sind stets vom anteilsmässig bedeutenderen zum weniger bedeutenderen Bereich zu berücksichtigen. Sind beide Bereiche mit 50 % zu veranschlagen, ist sie dort beachtlich, wo sie sich stärker auswirkt. Nicht möglich im hier zu beurteilenden Zusammenhang ist demgegenüber, dass Wechselwirkungen kumulativ in beide Richtungen ihren Niederschlag im Sinne einer verminderten Leistungsfähigkeit im je anderen Tätigkeitsbereich finden, führte dies doch zu einer doppelten Gewichtung. 7.3.6 Das in der Erwerbsarbeit oder im häuslichen Aufgabenbereich infolge der Beanspruchung im jeweils anderen Tätigkeitsfeld reduzierte Leistungsvermögen kann sodann nur berücksichtigt werden, wenn es offenkundig ist und ein gewisses normales Mass überschreitet. Dessen Ermittlung hat stets auf Grund der konkreten Gegebenheiten im Einzelfall zu erfolgen. In Anlehnung an den so genannten leidensbedingten Abzug vom statistischen Lohn bei der Bemessung des Invalideneinkommens von nach Eintritt des Gesundheitsschadens keine Erwerbstätigkeit mehr ausübenden Versicherten ( BGE 129 V 472 E. 4.2.1 S. 475 mit Hinweisen), welcher unter Einbezug aller jeweils in Betracht fallenden Merkmale auf insgesamt höchstens 25 % begrenzt ist ( BGE 126 V 75 E. 5b/cc S. 80; AHI 2002 S. 69 ff., E. 4b/cc, I 82/01), erscheint vorliegend eine Limitierung der als erheblich anzusehenden Wechselwirkungen ebenfalls sachgerecht. Da invaliditätsfremde Aspekte, anders als beim erwähnten Leidensabzug, keine Rolle spielen, rechtfertigt sich jedoch ein niedrigerer, auf 15 ungewichtete Prozentpunkte festgesetzter Maximalansatz. 7.3.7 Eine Rückweisung an die Verwaltung zur näheren Abklärung ist schliesslich nur für den Fall angezeigt, dass das Endergebnis selbst bei Annahme einer entsprechend verringerten Leistungsfähigkeit im einen Tätigkeitsgebiet durch die Beanspruchung im anderen überhaupt beeinflusst würde." (DTF 134 V 12-14) Al riguardo il giudice federale S. Leuzinger-Naef nello studio "Die familienbezogene Rechtsprechung der sozialrechtlichen Abteilung des Bundesgerichts im Jahre 2007" in FamPra.ch 1/2009 pag. 112 seg. si é così espressa : " 4.    Invaliditätsbemessung Hier ist auf die neueste Rechtsprechung zur sogenannten gemischten Methode hinzuweisen, da sie hauptsächlich Anwendung findet auf Personen mit familiären Betreuungspflichten, die ohne gesundheitliche Beeinträchtigung teilzeitlich erwerbs­tätig und im Übrigen im Aufgabenbereich, insbesondere im Haushalt, tätig wären: Für den Erwerbsbereich wird das Erwerbseinkommen im Gesundheits- und im Krankheitsfall verglichen, für den Aufgabenbereich ist der Umfang der Behinde­rung im Aufgabenbereich massgeblich. Anschliessend werden die Invaliditätsgrade der beiden Bereiche im Verhältnis der beiden Tätigkeitsbereiche gewichtet. In BGE 125 V 146 war offengelassen worden, ob eine allfällige verminderte Leistungs­fähigkeit im erwerblichen Bereich oder im Aufgabenbereich infolge der Beanspru­chung im jeweils anderen Tätigkeitsfeld zu berücksichtigen ist. Laut Urteil I 156/04 vom 13. Dezember 2005 sind die Arbeitsunfähigkeit sowie die noch. zumutbaren Tätigkeiten in beiden Bereichen grundsätzlich gleichzeitig, unter Berücksichtigung allfälliger Wechselwirkungen, zu beurteilen. In BGE 134 V 9 wurden die Grundsätze der Beachtlichkeit von Wechselwirkungen zwischen Erwerbs- und Aufgabenbereich präzisiert. So muss die sich aus der schlechten Vereinbarkeit der beiden Tätigkeits- ­bereiche ergebende negative gesundheitliche Auswirkung offenkundig und unvermeidbar­ sein. Die Wechselwirkungen sind zudem nur dann gesondert zusätzlich zu berücksichtigen, wenn sie in de Arzt- und Haushaltsabklärungsberichten nicht bereits berücksichtigt wurden, wenn die verbleibende Arbeitsfähigkeit im erwerb­lichen Bereich voll ausgenützt wird und wenn Betreuungspflichten vorhanden sind (ansonsten gar keine im Aufgabenbereich vorliegt). Sie sind in jenem Bereich zu berücksichtigen, in dem sie sich stärker auswirken, und die Berücksichti­gung ist auf (ungewichtet) 15 % beschränkt. Im Fall einer stark sehbehinderten Frau, die vollzeitlich als Telefonistin tätig gewesen war und nach der Geburt ihres Kindes ihre Erwerbstätigkeit auf 40% reduzieren wollte, diese Absicht aber nicht verwirkli­chen konnte, da sie wegen ihrer Sehbehinderung neben der familiären Mehrbelas­tung über keine Kapazitäten für die Ausübung der Berufstätigkeit verfügte, führten diese Präzisierungen zu einer Verneinung des Rentenanspruchs."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2.8.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2.9.   Nella decisione del 16 novembre 2011, l’Ufficio AI ha attribuito all’assicurata tre quarti di rendita di invalidità (grado AI 64%) dal 1° maggio 2010 al 30 settembre 2010, riducendola poi ad un quarto di rendita di invalidità (grado AI 47%) dal 1° ottobre 2010, ritenuto il miglioramento dello stato di salute dell’interessata, la quale, a partire dal mese di giugno 2010, presenta una capacità lavorativa del 33.3%. Il TCA è, quindi, ora chiamato a valutare, alla luce di quanto esposto ai considerandi 2.6., 2.7. e 2.8., se l’UAI ha correttamente o meno ridotto ad un quarto la rendita di invalidità spettante a RI 1, a fare tempo dal 1° ottobre 2010. 2.10.   Nel caso in esame, l’UAI ha fondato, dal profilo medico, la propria decisione di attribuire all’assicurata tre quarti di rendita di invalidità dal 1° maggio 2010 al 30 settembre 2010, riducendola poi ad un quarto di rendita di invalidità dal 1° ottobre 2010, sulla valutazione medica del dr. __________ del SMR. Nel rapporto medico del 20 ottobre 2010, il dr. __________, spec. FMH in medicina generale (sul diritto per gli assicurati di conoscere la specializzazione dei medici del SMR, cfr. SVR 2008 IV Nr. 13), ha posto le diagnosi principali di “sindrome lombospondilogena cronica dopo vertebroplastica e spondilodesi L2/L4 dopo frattura post-traumatica vertebrale di L3 instabile del 1.5.2009; disturbi funzionali alla spalla sinistra con ipomobilità in stato dopo artroscopia spalla sinistra, acromioplastica anteriore, ricostruzione della cuffia sulla base di una lesione transmurale del sovraspinato sin. il 29.01.2010; stato dopo incidente stradale con frattura L3 instabile e lesione tendinea del sovraspinato sin. del 01.05.2009” e, quali ulteriori diagnosi senza influsso sulla capacità lavorativa, quelle di “disturbi recidivanti del gusto e dell’olfatto, attualmente in regressione (valore di malattia); sindrome lombospondilogena cronica e disturbi funzionali alla spalla sinistra” (doc. 40-1). Quanto alla capacità lavorativa, il dr. __________ del SMR ha indicato che l’assicurata è inabile al lavoro nella misura del 66.7% (da intendersi come rendimento ridotto), dal 4 giugno 2010, nella sua attività di custode, ma è da considerare inabile al lavoro al 25% (rendimento ridotto) nello svolgimento di attività leggere adeguate, rispettose delle sue limitazioni funzionali, sempre a decorrere dal 4 giugno 2010 (doc. 40-2). Il dr. __________ ha aggiunto che, con riferimento al periodo precedente, l’interessata va ritenuta totalmente inabile al lavoro, in qualsiasi attività, dal 1° maggio 2009 al 3 giugno 2010 (doc. 40-2). Il dr. __________ ha espresso il proprio apprezzamento sulla base della valutazione peritale eseguita in data 4 giugno 2010, in ambito infortunistico, dal dr. __________, spec. FMH in chirurgia. Nel referto dell’8 luglio 2010, il dr. __________ ha posto la diagnosi principale di “sindrome lombospondilogena cronica dopo vertebroplastica e spondilodesi L2/L4 dopo frattura post-traumatica vertebrale di L3 instabile del 1.5.2009 (ICD10-S32.0); disturbi funzionali alla spalla sinistra con ipomobilità; stato dopo artroscopia spalla sinistra, acromioplastica anteriore, ricostruzione della cuffia sulla base di una lesione transmurale del sovraspinato sin. il 29.01.2010; stato dopo incidente stradale con frattura L3 instabile e lesione tendinea del sovraspinato sin. del 01.05.2009” e, quale diagnosi secondaria, quella di “disturbi recidivanti del gusto e dell’olfatto, attualmente in regressione (valore di malattia)” (doc. 9-5 inc. LAINF). A proposito della capacità lavorativa dell’assicurata, il dr__________ ha espresso le seguenti considerazioni: " L’incapacità lavorativa come custode-portinaia è ancora indicata. Oggi la paziente, come portinaia-custode, non potrebbe lavorare oltre il 33.3%, causa disturbi alla colonna vertebrale e alla spalla sin. Ha problemi quando deve pulire le scale o i corridoi, quando deve tagliare l’erba o pulire i vetri. Non può più portare pesi oltre 2-3 kg. Andare su e giù dalle scale è un problema per la paziente. Anche lavorare con le braccia sopra l’orizzontale per pulire i vetri è molto difficoltoso. Tutti i movimenti ripetitivi con il braccio sinistro e con la colonna vertebrale, come pure tutti i movimenti con il braccio alzato non sono più esigibili. In un mercato generale equilibrato la paziente potrebbe però fare un lavoro più leggero, senza dover portare pesi (venditrice, aiuto in ufficio, telefonista), a queste condizioni potrebbe lavorare nell’arco di un’intera giornata, in misura del 75%.” (Doc. 9-7 inc. LAINF) In sede di osservazioni contro il progetto di decisione del 6 luglio 2011 dell’UAI, l’assicurata ha trasmesso all’amministrazione uno scritto del 25 luglio 2011 del suo medico curante, dr. __________, spec. FMH in medicina interna, del seguente tenore: " Dopo aver visionato l’incarto (progetto di assegnazione di rendita) della mia paziente, signora RI 1, nata 18.04.1948, con la paziente stessa ed il marito, vogliamo inoltrare osservazioni in merito. I signori RI 1 chiedono di riesaminare il dossier non ritenendosi soddisfatti della proposta inviata. Purtroppo conosco come medico curante la signora RI 1 unicamente dal gennaio 2011, avendo rilevato lo studio del precedente medico curante, dr. med. __________. Nuovi elementi In questi mesi la situazione dell’apparato locomotore è rimasta stabile. La paziente anamnesticamente non ha potuto incrementare per la persistenza dei dolori il grado di attività. Sono subentrati per contro ulteriori problematiche internistiche legate all’età: palpitazioni sintomatiche su salve di tachicardia atriale (Holter 26.07.2011), una sindrome metabolica iniziale (ipertensione, sovrappeso, dislipidemia) ed una steatosi epatica sintomatica (pesantezza epigastrica: US dicembre 2010). Questa paziente più che 63enne presenta dunque la comparsa come menzionato di polipatologia internistica, sì poco invalidante per l’ambito lavorativo, ma sicuramente nell’insieme aggravante per la situazione ortopedica. Per quanto riguarda invece la proposta inviata Rimaniamo perplessi sulla riduzione del grado di invalidità introdotto a partire dal 04.06.2010 (riduzione dal 64% al 47% con conseguente importante riduzione della rendita, da ¾ a 1/4), senza rilevare nel suddetto periodo (non essendo il medico incaricato ho potuto unicamente riprendere l’anamnesi con la paziente e lo studio degli incarti in mio possesso, quelli della cartella clinica del mio predecessore) un miglioramento del quadro di salute. Inoltre la signora lavorava come portinaia di una palazzina. È stato stabilito, presumiamo in base alla paga, un impiego del 50%, percentuale che a detta sia del marito che della moglie non figurava sul contratto. Infatti la signora doveva essere reperibile in maniera flessibile in modo da essere sempre disponibile in caso di bisogno. La percentuale attribuita potrebbe quindi essere ricalcolata. Inoltre per il grado di invalidità da casalinga si è valutata la presenza del marito come mezzo ausiliario a favore della paziente. Pensiamo che quest’ultimo essendo una persona a sé stante non dovrebbe incidere sulla valutazione della capacità di lavoro della vostra assicurata non essendo una parte integrante del corpo della paziente (tipo ortesi) e non sempre disponibile al momento del bisogno.” (Doc. 53-2) Nelle annotazioni del 4 ottobre 2011, il dr. ____________________ del SMR ha osservato: " Le considerazioni mediche espresse nel nostro rapporto finale del 29 ottobre 2010 sono basate sulla valutazione specialistica espressa dalla SMCA. In attività come casalinga abbiamo fatto espletare l’inchiesta economica a domicilio con successiva comunicazione espressa dall’AS il 30 settembre u.s. ove si ribadiscono le conclusioni espresse l’8 giugno 2011. In definitiva ribadiamo quanto espresso il 20 ottobre 2010, volendo ancora sottolineare, in risposta al MC dr. __________, che il grado di invalidità non corrisponde alla capacità lavorativa e che esso è influenzato da fattori economici che non sono di competenza medica.” (Doc. 60-1) 2.11.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2.12. Al fine di stabilire il grado d’invalidità, l’Ufficio AI, applicando il metodo misto, ha valutato al 50% la parte dedicata all’attività salariata e al 50% la quota dedicata alle mansioni domestiche. La percentuale di attività lavorativa del 50% è stata dedotta dall’amministrazione dal “questionario per il datore di lavoro”, redatto il 26 novembre 2009 dalla ditta __________ SA, amministratrice del condominio __________, dal quale risulta che l’assicurata lavorava quale custode nella misura di 21 ore alla settimana, mentre l’orario settimanale normale di lavoro nell’azienda era di 42 ore (cfr. doc. 17-3). Il rappresentante dell’assicurata ha contestato questa ripartizione, rilevando che l’interessata avrebbe dovuto essere considerata salariata almeno nella misura del 65%, dato che ella lavorava mediamente 5/6 ore al giorno e, oltretutto, doveva tenersi a disposizione 24 ore su 24 (doc. I). L’UAI, dal canto suo, ha ribadito la correttezza della ripartizione considerata nella decisione impugnata (50% salariata e 50% casalinga), rilevando che la percentuale lavorativa del 50% risulta, oltre che dal “questionario per il datore di lavoro”, anche dal “certificato medico LAINF” (doc. IV). In corso di causa, a comprova del presunto maggiore grado di occupazione dell’assicurata come salariata, il rappresentante dell’interessata ha trasmesso al TCA copia del “contratto di custodia”, datato 12 marzo 2008, stipulato da “per il condominio ____________________, l’amministrazione __________ SA” con “la custode: RI 1” e “il marito __________ per quanto di sua competenza” (doc. C1). Da tale contratto, come sottolineato dal patrocinatore (cfr. doc. VI), non emerge alcuna indicazione a proposito della percentuale di impiego dell’assicurata, rispettivamente del marito della stessa. Nelle osservazioni del 25 gennaio 2012, l’amministrazione ha ribadito che l’interessata va considerata salariata nella misura del 50%, facendo valere che in occasione “dell’inchiesta economica svolta presso il domicilio dell’assicurata il 17 maggio 2011 (rapporto del 17 giugno 2011) quest’ultima non abbia espresso diversa opinione in merito alla ripartizione del tempo lavorativo, ossia custode al 50%. In sede d’osservazione del 30 agosto 2011, il patrocinatore dell’assicurata __________ ribadisce che l’assicurata era stata assunta quale portinaia in misura del 50%” (doc. VIII). Chiamato a pronunciarsi, dopo attenta analisi degli atti, questo Tribunale ritiene che l’assicurata vada effettivamente considerata, prima del danno alla salute, salariata nella misura del 50% e casalinga nella misura del 50%, come deciso dall’UAI. Dalla documentazione agli atti emerge, infatti, in maniera chiara e concorde, che l’interessata abbia esercitato, a partire dal 1° gennaio 2008, la propria attività di custode nella misura di 21 ore settimanali rispetto ad un orario normale di lavoro di 42 ore settimanali. Come evidenziato a giusta ragione dall’UAI, l’indicazione di un tempo di lavoro del 50% dell’assicurata nella sua funzione di custode risulta sia dal “certificato medico LAINF” del 15 maggio 2009 (cfr. doc. 2-1 inc. LAINF) – nel quale è stato precisato che le ore di lavoro settimanali dell’interessata erano 21 rispetto ad un orario di lavoro aziendale di 42 ore settimanali, con un grado di occupazione del 50% - sia dal questionario per il datore di lavoro, compilato il 26 novembre 2009 (cfr. doc. 17-3) – nel quale l’amministrazione __________ SA ha indicato che l’orario di lavoro normale di lavoro nell’azienda fosse di 42 ore settimanali, mentre l’orario di lavoro dell’assicurata prima del danno alla salute prevedesse 21 ore settimanali, a partire dal 1° gennaio 2008. La medesima percentuale del 50% figura pure nel rapporto del 17 giugno 2011 concernente l’“inchiesta economica per le persone che si occupano dell’economia domestica”, nel quale l’assistente sociale incaricata, alla domanda “attività svolta e in che misura”, ha indicato “custode per l’amministrazione __________ al 50%” (doc. 48-2), senza che l’assicurata abbia mai contestato tale circostanza. Del resto, come giustamente osservato dall’amministrazione, è solo in sede ricorsuale che l’attuale patrocinatore dell’assicurata ha contestato la percentuale lavorativa del 50% presa in considerazione dall’UAI: in precedenza, nelle osservazioni del</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2.16.   Come detto, l’Ufficio AI ha incaricato l’assistente sociale di esperire un’inchiesta economica per le persone che si occupano dell’economia domestica sfociata nel rapporto del 17 giugno 2011 (cfr. doc. 48-1 e segg.) dal seguente tenore: " (...) 5.   ATTIVITÀ - descrizione degli impedimenti dovuti all'invalidità 5.1 Conduzione dell'economia domestica pianificazione, organizzazione, ripartizione del lavoro, controllo importanza assegnata 5 % percentuale degli impedimenti 0% percentuale di invalidità 0 % Nessun impedimento. 5.2 Alimentazione preparazione dei pasti, pulizia della cucina, riserve importanza assegnata 45% percentuale degli impedimenti 20 % percentuale di invalidità 9% La signora RI 1 si occupa tuttora della preparazione dei pasti “come sempre”. Per evitare di sollevare pentole troppo pesanti, le riempie poco alla volta e richiede la collaborazione del marito al momento di svuotarle. L’assicurata pulisce il piano di lavoro, carica la lavastoviglie (abbassandosi sulle ginocchia) e si occupa del riassetto della cucina; il marito apparecchia-sparecchia e saltuariamente scarica la lavastoviglie. Dall’infortunio non si è più occupata delle pulizie stagionali del locale cucina, preferisce pulire alla necessità, tralasciando i lavori più onerosi per l’Aiuto Domiciliare. L’assicurata mantiene tuttora una buona autonomia nelle attività quotidiane. Considerata l’esigibilità del marito, valuto nella misura del 20% la percentuale degli impedimenti tenendo conto delle difficoltà nei lavori pesanti a carattere stagionale. 5.3 Pulizia dell'appartamento rispolvero, pulizia dei pavimenti, dei vetri, rifare i letti, ecc. importanza assegnata 20% percentuale degli impedimenti 60 % percentuale di invalidità 12% Una volta alla settimana l’Aiuto Domiciliare pulisce l’appartamento in modo approfondito; nei rimanenti giorni se ne occupa l’assicurata (insieme al coniuge) superficialmente. La signora RI 1: spolvera, pulisce le vaschette, sistema il letto quotidianamente (per il cambio delle lenzuola è aiutata dal marito) e nella strettissima necessità passa l’aspirapolvere e lava i pavimenti (il movimento le causa dolori alla schiena). L’assicurata pulisce i vetri unicamente a livello piano di lavoro; l’Aiuto Domiciliare termina il lavoro e si occupa anche delle pulizie stagionali dell’appartamento. Considerando le difficoltà nei lavori pesanti, valuto nella misura del 60% la percentuale degli impedimenti. 5.4 Spesa e acquisti diversi compresi pagamenti, trattative assicurazioni e rapporti ufficiali importanza assegnata 10% percentuale degli impedimenti 20 % percentuale di invalidità 2% Nessun impedimento riguardo alla piccola spesa quotidiana; in occasione di quella settimanale, il trasporto degli acquisti è totalmente affidato al marito. Nessun impedimento per quanto concerne la gestione burocratica familiare. Considerata l’esigibilità della collaborazione del coniuge, valuto nella misura del 20% la percentuale degli impedimenti tenendo conto delle limitazioni nel trasporto dei pesi. 5.5 Bucato, confezione e riparazioni di indumenti lavare, stendere, stirare, cucire, lavorare a maglia, ecc. importanza assegnata 20% percentuale degli impedimenti 20 % percentuale di invalidità 4% Il marito trasporta la cesta e l’assicurata esegue il bucato pratico in sé, senza problemi di rilievo; al termine, inserisce tutta la biancheria nell’asciugatrice. L’assicurata si occupa dello stiro, alternando delle attività con delle pause (al sopraggiungere dei dolori alla schiena) e tralasciando la biancheria ingombrante (copri-piumino, tovaglie da tavolo, ecc.) per l’Aiuto Domiciliare (fatica a piegarle). L’assicurata mantiene tuttora una buona autonomia nelle attività qui trattate, considerando l’esigibilità della collaborazione del coniuge, valuto nella misura del 20% la percentuale degli impedimenti tenendo conto del maggior impiego di tempo nello stiro. 5.7 Diversi cura delle piante, giardinaggio, cura degli animali, attività di utilità pubblica, creazione artistica, impegno a favore di terzi, volontariato importanza assegnata 0 % percentuale degli impedimenti 0% percentuale di invalidità 0 % Nulla da segnalare. Valutazione dell'assistente sociale totale delle attività 100 % percentuale di invalidità 27 % ■    Chi esegue i lavori, che a causa della sua invalidità, l'assicurata non può svolgere personalmente nell'economia domestica? Indicare il nome, l'indirizzo, il grado di parentela, genere dei lavori delegati, ore di lavoro per settimana e salario orario versato. - Il marito - L’Aiuto Domiciliare 6.   GRADO ATTUALE DEGLI IMPEDIMENTI attività ripartizione Impedimento GRADO D'INVALIDITÀ salariata 80% casalinga 20% 20% 4% TOTALE 100% Da quando il danno alla salute ha avuto ripercussioni sulla capacità al lavoro? OSSERVAZIONI PERSONALI DELL’ASSISTENTE SOCIALE -.-.” (Doc. 48/4-6) 2.17.   Sulla base degli accertamenti fatti presso il domicilio dell’assicurata, dopo aver fissato gli impedimenti di ogni singola mansione casalinga, l'assistente sociale ha quindi stabilito una limitazione complessiva del 27%. Valutando i singoli impedimenti, con motivazioni pertinenti, la responsabile ha tenuto conto delle dichiarazioni dell’assicurata in merito alle limitazioni ad eseguire talune mansioni domestiche. Nel suo ricorso, il patrocinatore dell’assicurata ha contestato le risultanze dell’inchiesta economica evidenziando, in sostanza, che sarebbe stata valutata in maniera troppo ottimistica la percentuale degli impedimenti nello svolgimento delle mansioni domestiche, ritenuto che ella “non possa sollevare pesi superiori a 2-3 kg, avverta dolori al braccio sinistro che non può essere alzato al di sopra della spalla e che non può effettuare movimenti ripetitivi. Anche a livello dorsale l’assicurata lamenta ancora forti dolori e da quanto risulta dagli atti medici non può salire e scendere le scale se non saltuariamente, né flettersi”. L’insorgente ha quindi fissato una differente percentuale di impedimento in ambito domestico (del 50%), senza però supportarla con concreti elementi oggettivi (cfr. doc. I). Il TCA non ha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il medico del SMR, facendo propria la valutazione peritale eseguita in ambito infortunistico,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parziale collaborazione del marito,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In generale bisogna ricordare che l'inchiesta economica tiene conto di tutti quei fattori che, concretamente, nella vita di tutti i giorni, influiscono sulla capacità lavorativa dell'assicurata nei vari ambiti domestici. D’altra parte, esaminate singolarmente le valutazioni dell’assistente sociale circa gli impedimenti dovuti all’invalidità, questo Tribunale ritiene che non siano ravvisabili elementi che consentano di metterne in dubbio l’attendibilità. In effetti esse risultano conformi non solo alle risultanze mediche, ma anche alle circostanze ed ai riscontri concreti. L’assistente sociale, nella sua valutazione, ha tenuto conto delle limitazioni indicate dal dr. __________ – il quale ha considerato che l’interessata presenta “problemi quando deve pulire le scale, corridoi, tagliare l’erba o pulire i vetri; andare su e giù per le scale ripetutamente non è esigibile; non può portare pesi oltre 2-3 kg col braccio sinistro; non esigibile lavorare con le braccia per lungo tempo sopra l’orizzontale” (cfr. doc. 40-3) - riconoscendo espressamente degli impedimenti maggiori proprio nei lavori più gravosi, in particolare nella pulizia dell’appartamento (cfr. doc. 48-4). Per contro, va sottolineato che l’assistente sociale ha attribuito una minore percentuale di impedimenti nelle attività “alimentazione”, “spesa e acquisti diversi” e “bucato, confezione e riparazione di indumenti” – nonostante si tratti di attività comprendenti mansioni pesanti - tenendo conto del fatto che l’assicurata - nel pieno rispetto dell’obbligo di diminuire il danno –ha saputo modificare le proprie consuetudini per mantenere una certa autonomia, adottando determinati accorgimenti, come ad esempio “per evitare di sollevare pentole troppo pesanti, le riempie poco alla volta e richiede la collaborazione del marito al momento di svuotarle” (cfr. doc. 48-4), oppure, per quanto concerne il bucato, facendo trasportare la cesta al marito ed eseguendo poi lei stessa il bucato e, infine, occupandosi “dello stiro alternando le attività con delle pause (al sopraggiungere dei dolori alla schiena) e tralasciando la biancheria ingombrante” (doc. 48-5). A tale proposito, il TCA sottolinea che, in una sentenza 9C_328/2009 dell’8 settembre 2009, il Tribunale federale ha ancora una volta ribadito che anche le persone occupate nell’economia domestica devono contribuire, di loro propria iniziativa e in misura ragionevolmente esigibile, al miglioramento della loro capacità al lavoro, segnatamente ripartendo meglio le incombenze, osservando: " (…) Sur le plan strictement fonctionnel, la recourante n'est limitée que dans le port de charges. Si la fatigue peut induire chez elle un certain ralentissement, celui-ci peut être compensé par une meilleure répartition des tâches au cours de la journée et de la semaine. Contrairement à ce que soutient la recourante, une telle façon de voir les choses est conforme en tous points à la jurisprudence. Au titre de son obligation de réduire le dommage, la personne assurée est tenue notamment d'adopter une méthode de travail appropriée, de répartir son travail en fonction de ses aptitudes et de ses disponibilités et de demander, dans la mesure du raisonnable, l'aide de ses proches (voir ATF 133 V 504 consid. 4.2 p. 509 et les références). Alla luce di queste considerazioni, il TCA ritiene corretta la percentuale di impedimenti ritenuta dall’assistente sociale, la quale ha giustamente tenuto conto anche della collaborazione fornita dal marito (su questo aspetto, cfr., ad esempio, STF 9C_642/2010 del 26 aprile 2011, nella quale l’Alta Corte, confermando la sentenza 32.2009.219 dell’8 luglio 2010 di questo Tribunale, ha ribadito la correttezza della valutazione operata dall’assistente sociale, la quale ha debitamente tenuto conto delle limitazioni dell’assicurato e dell’aiuto esigibile da parte della moglie nello svolgimento di talune mansioni domestiche). Le allegazioni ricorsuali non consentono, dunque, a questa Corte di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Del resto, l’interessata non apporta elementi nuovi rispetto a quelli emersi dall’accertamento al domicilio e attestati nel rapporto domiciliare, ma si limita in sostanza a censurare la percentuale di inabilità attribuita dall’assistente sociale. Ora, in proposito va detto che - ribadito che l’assistente sociale dispone della formazione specifica che consente, tenuto conto di quelle che sono le limitazioni constatate dai medici, di valutare in ogni singola mansione l’eventuale limitata capacità residua a svolgerla - nella specie l’assistente sociale si è basata su quanto dichiarato dalla ricorrente medesima da un lato e sui rapporti medici dall’altro. 2.18.   Essendo quindi esigibile che, a partire dal l’assicurata sfrutti la sua residua capacità lavorativa del 33.3% nella sua precedente attività – dato che, nella decisione impugnata, l’amministrazione ha espressamente indicato che “valutata la situazione socio-professionale, si ritiene che, in considerazione dell’avanzata età professionale della vostra assistita, la capacità di guadagno non sia incrementabile svolgendo altre professioni, pertanto l’incapacità lavorativa nella sua attività equivale al grado di invalidità come salariata” (cfr. doc. A) - ricordato inoltre che l'invalidità nell'ambito delle assicurazioni sociali svizzere è un concetto di carattere economico‑giuridico e non medico (DTF 116 V 249 consid. 1b, 110 V 275 consid. 4a) , occorre esaminare le conseguenze del danno alla salute dal profilo economico. Nella decisione impugnata, l’Ufficio AI ha indicato che il grado di incapacità lucrativa dell’interessata, nella sua precedente professione di custode, ammonta al 66.6%, percentuale che, rapportata al grado di occupazione del 50%, porta ad un grado di invalidità, nella parte salariata, del 33.3%. Al riguardo, in corso di causa (cfr. doc. XII), il TCA ha chiesto all’amministrazione di confermare, per quanto riguarda la percentuale di invalidità dell’interessata nella quota parte salariata (50%), le percentuali di “limitazione 66.6%” e “grado di invalidità parziale 33.3%” (situazione dal 04.06.2010), indicate nella decisione impugnata, alla luce della sentenza I 151/06 del 29 giugno 2007, nella quale l’Alta Corte ha osservato: " (…) Il ressort du rapport d'expertise que l'intimée a présenté une capacité de travail de 50% pour un plein temps à partir du 15 mars 2004. Contrairement aux considérations du jugement entrepris, l'incapacité corrélative de travail (50%) ne saurait se confondre avec la perte de gain subie par l'intimée, dès lors que le taux d'activité professionnelle déterminant en l'espèce n'est pas de 100% mais de 72%. L'incapacité de travail ne saurait davantage être déterminée par pondération avec le taux d'activité professionnelle de l'assurée tel que préconisé par l'office recourant (72% x 50% = 36%). Il en résulterait une capacité résiduelle de travail de 36 % (72% - 36%). Or, compte tenu de l'obligation faite aux assurés de réduire le dommage, il leur incombe de mettre à profit toute la capacité de travail raisonnablement exigible de leur part (cf. ATF 123 V 230 consid. 3c et les références citées p. 233).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 SVR 2006 IV n° 42 p. 151 [arrêt E. du 13 décembre 2005, I 156/04]; arrêt non publié B. du 19 mai 1993, I 417/92). L'incapacité de travail subie par l'intimée correspond ainsi à la différence entre le taux d'activité professionnelle (72%) et la capacité de travail médicalement attestée (50%). Elle s'élève à 22%, entraînant une perte de gain du même taux à partir du 15 mars 2004. Elle s'avère en revanche nulle à partir du 15 avril 2004, l'intimée ayant recouvré depuis lors une pleine capacité de travail.” Con risposta dell’11 maggio 2012, l’Ufficio AI ha comunicato al TCA quanto segue: " (...) In sostanza, lei ci chiede di verificare la definizione del grado di invalidità del 47% da giugno 2010 in considerazione della inabilità lavorativa valutata medicalmente del 66.6% quale custode-portinaia, applicando la modalità di calcolo seguente: Attività Quota parte       Limitazione        Grado AI parziale - salariata                50% 66.6%                           33.30% - casalinga                50%             27%                              13.50% Tot.    47% (46.80%) In applicazione della modalità indicata nella sentenza citata, risulterebbe, invece, il grado di invalidità seguente: Attività Quota parte       Limitazione        Grado AI parziale - salariata                50% (50% - 33.4%) =          16.60% - casalinga                50%             27%                              13.50% Tot.     30.10% Ne conseguirebbe un grado AI inferiore al tasso del 40% senza diritto per la signora RI 1 a prestazione alcuna. Ora, lo scrivente Ufficio rileva che dal lato medico l’assicurata è stata ritenuta abile al lavoro quale custode-portinaia al 33.3% sulla base del rapporto di accertamento SMCA – LU dell’8 luglio 2010 svolto su incarico della __________. Il Servizio medico regionale (di seguito SMR) ha precisato che l’inabilità lavorativa definita medicalmente corrisponde ad un rendimento diminuito sull’arco dell’intera giornata (cfr. annotazione SMR del 20 ottobre 2010 con nota di “ rendimento diminuito ”). Non si tratta, nello specifico, di una riduzione della capacità lavorativa a livello di tempo, bensì di rendimento. Pertanto, l’amministrazione non ha ritenuto di definire la perdita lucrativa parziale per l’attività di salariata al 16.60% sottraendo alla quota-parte del 50% la capacità lavorativa residua ancora esigibile dal lato medico per l’attività abituale del 33.4% (ovvero 100% - 66.6% di inabilità lavorativa) come da calcolo summenzionato. Ne consegue che lo scrivente Ufficio conferma il calcolo del grado di invalidità per la parte salariata proposto nella decisione impugnata convalidando il grado di invalidità finale del 47%.” (Doc. XIII) Alla luce di questa risposta fornita dall’amministrazione - dalla quale emerge che la percentuale di incapacità lavorativa del 66.6% indicata dal SMR deve essere intesa quale riduzione del rendimento e non del tempo di lavoro, di modo che essa deve essere ritenuta valida non solo rispetto ad un tempo pieno di lavoro, ma anche rispetto al precedente grado di occupazione del 50% dell’assicurata – il TCA non può che confermare il calcolo del grado di invalidità eseguito dall’Ufficio AI. Il grado di incapacità lavorativa dell’interessata in ambito lavorativo ammonta, quindi, a partire dal mese di giugno 2010, al 66.6%, percentuale che, rapportata alla quota parte del 50%, porta ad un grado di invalidità, nella parte salariata, del 33.3%. 2.19.   Viste le quote parti tra attività salariata (50%) e mansioni casalinghe (50%) stabilite dall’amministrazione nella querelata decisione, il grado di invalidità globale è così del 46.8% (50 X 66.6% + 50 X 27%) in applicazione del metodo misto, arrotondato al 47% ( secondo la giurisprudenza di cui alla DTF 130 V 121 consid. 3.2. = SVR 2004 UV Nr. 11 pag. 41: "Demnach ist in Zukunft bei einem Ergebnis bis x,49... % auf x % abzurunden und bei Werten ab x,50... % auf x+1 % aufzurunden, was den Invaliditätsgrad ergibt."), percentuale che dà diritto, a partire dal 1° ottobre 2010 (ossia, in applicazione dell’art. 88a cpv. 1 OAI, tre mesi dopo il miglioramento della capacità di guadagno, a decorrere dal mese di giugno 2010, cfr. consid. 2.13.), ad un quarto di rendita di invalidità come stabilito dall’UAI nella decisione impugnata. 2.20.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